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C46DC">
      <w:pPr>
        <w:tabs>
          <w:tab w:val="left" w:pos="360"/>
          <w:tab w:val="left" w:pos="1800"/>
        </w:tabs>
        <w:jc w:val="center"/>
        <w:outlineLvl w:val="1"/>
        <w:rPr>
          <w:rFonts w:ascii="宋体" w:hAnsi="宋体"/>
          <w:b/>
          <w:bCs/>
          <w:color w:val="000000"/>
          <w:sz w:val="24"/>
          <w:szCs w:val="24"/>
        </w:rPr>
      </w:pPr>
      <w:bookmarkStart w:id="0" w:name="_Toc33536006"/>
      <w:bookmarkStart w:id="1" w:name="_Toc8057063"/>
      <w:r>
        <w:rPr>
          <w:rFonts w:hint="eastAsia" w:ascii="宋体" w:hAnsi="宋体"/>
          <w:b/>
          <w:bCs/>
          <w:color w:val="000000"/>
          <w:sz w:val="24"/>
          <w:szCs w:val="24"/>
        </w:rPr>
        <w:t>评分细则</w:t>
      </w:r>
      <w:bookmarkEnd w:id="0"/>
      <w:bookmarkEnd w:id="1"/>
    </w:p>
    <w:p w14:paraId="642B1CC1">
      <w:pPr>
        <w:pStyle w:val="10"/>
        <w:numPr>
          <w:ilvl w:val="0"/>
          <w:numId w:val="1"/>
        </w:numPr>
        <w:spacing w:line="360" w:lineRule="auto"/>
        <w:ind w:firstLineChars="0"/>
        <w:rPr>
          <w:rFonts w:ascii="宋体" w:hAnsi="宋体"/>
          <w:color w:val="000000"/>
          <w:sz w:val="24"/>
          <w:szCs w:val="24"/>
        </w:rPr>
      </w:pPr>
      <w:r>
        <w:rPr>
          <w:rFonts w:hint="eastAsia" w:ascii="宋体" w:hAnsi="宋体"/>
          <w:color w:val="000000"/>
          <w:sz w:val="24"/>
          <w:szCs w:val="24"/>
        </w:rPr>
        <w:t>本项目的评审采用</w:t>
      </w:r>
      <w:r>
        <w:rPr>
          <w:rFonts w:hint="eastAsia" w:ascii="宋体" w:hAnsi="宋体" w:cs="宋体"/>
          <w:color w:val="000000"/>
          <w:sz w:val="24"/>
          <w:szCs w:val="24"/>
        </w:rPr>
        <w:t>综合评分法</w:t>
      </w:r>
      <w:r>
        <w:rPr>
          <w:rFonts w:hint="eastAsia" w:ascii="宋体" w:hAnsi="宋体"/>
          <w:bCs/>
          <w:color w:val="000000"/>
          <w:sz w:val="24"/>
          <w:szCs w:val="24"/>
        </w:rPr>
        <w:t>，</w:t>
      </w:r>
      <w:r>
        <w:rPr>
          <w:rFonts w:hint="eastAsia" w:ascii="宋体" w:hAnsi="宋体"/>
          <w:color w:val="000000"/>
          <w:sz w:val="24"/>
          <w:szCs w:val="24"/>
        </w:rPr>
        <w:t>总分</w:t>
      </w:r>
      <w:r>
        <w:rPr>
          <w:rFonts w:ascii="宋体" w:hAnsi="宋体"/>
          <w:color w:val="000000"/>
          <w:sz w:val="24"/>
          <w:szCs w:val="24"/>
        </w:rPr>
        <w:t>100</w:t>
      </w:r>
      <w:r>
        <w:rPr>
          <w:rFonts w:hint="eastAsia" w:ascii="宋体" w:hAnsi="宋体"/>
          <w:color w:val="000000"/>
          <w:sz w:val="24"/>
          <w:szCs w:val="24"/>
        </w:rPr>
        <w:t>分，其中技术标权数9</w:t>
      </w:r>
      <w:r>
        <w:rPr>
          <w:rFonts w:ascii="宋体" w:hAnsi="宋体"/>
          <w:color w:val="000000"/>
          <w:sz w:val="24"/>
          <w:szCs w:val="24"/>
        </w:rPr>
        <w:t>0</w:t>
      </w:r>
      <w:r>
        <w:rPr>
          <w:rFonts w:hint="eastAsia" w:ascii="宋体" w:hAnsi="宋体"/>
          <w:color w:val="000000"/>
          <w:sz w:val="24"/>
          <w:szCs w:val="24"/>
        </w:rPr>
        <w:t>％，商务标权数为1</w:t>
      </w:r>
      <w:r>
        <w:rPr>
          <w:rFonts w:ascii="宋体" w:hAnsi="宋体"/>
          <w:color w:val="000000"/>
          <w:sz w:val="24"/>
          <w:szCs w:val="24"/>
        </w:rPr>
        <w:t>0</w:t>
      </w:r>
      <w:r>
        <w:rPr>
          <w:rFonts w:hint="eastAsia" w:ascii="宋体" w:hAnsi="宋体"/>
          <w:color w:val="000000"/>
          <w:sz w:val="24"/>
          <w:szCs w:val="24"/>
        </w:rPr>
        <w:t>％。</w:t>
      </w:r>
    </w:p>
    <w:p w14:paraId="7095CB65">
      <w:pPr>
        <w:pStyle w:val="10"/>
        <w:numPr>
          <w:ilvl w:val="0"/>
          <w:numId w:val="1"/>
        </w:numPr>
        <w:spacing w:line="360" w:lineRule="auto"/>
        <w:ind w:firstLineChars="0"/>
        <w:rPr>
          <w:rFonts w:ascii="宋体" w:hAnsi="宋体"/>
          <w:color w:val="000000"/>
          <w:sz w:val="24"/>
          <w:szCs w:val="24"/>
        </w:rPr>
      </w:pPr>
      <w:r>
        <w:rPr>
          <w:rFonts w:hint="eastAsia" w:ascii="宋体" w:hAnsi="宋体"/>
          <w:color w:val="000000"/>
          <w:sz w:val="24"/>
          <w:szCs w:val="24"/>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磋商文件规定签订合同等原因取消中选资格，则按排名顺序依次确定排名第二的中选候选人为中选人。具体评分细则如下：</w:t>
      </w:r>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9"/>
        <w:gridCol w:w="1410"/>
        <w:gridCol w:w="5856"/>
        <w:gridCol w:w="898"/>
      </w:tblGrid>
      <w:tr w14:paraId="43E1C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969" w:type="dxa"/>
            <w:vAlign w:val="center"/>
          </w:tcPr>
          <w:p w14:paraId="73A6B700">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序号</w:t>
            </w:r>
          </w:p>
        </w:tc>
        <w:tc>
          <w:tcPr>
            <w:tcW w:w="1410" w:type="dxa"/>
            <w:vAlign w:val="center"/>
          </w:tcPr>
          <w:p w14:paraId="7F6C094A">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评审因素</w:t>
            </w:r>
          </w:p>
        </w:tc>
        <w:tc>
          <w:tcPr>
            <w:tcW w:w="5856" w:type="dxa"/>
            <w:vAlign w:val="center"/>
          </w:tcPr>
          <w:p w14:paraId="758D5789">
            <w:pPr>
              <w:widowControl/>
              <w:snapToGrid w:val="0"/>
              <w:jc w:val="left"/>
              <w:rPr>
                <w:rFonts w:ascii="宋体" w:hAnsi="宋体" w:cs="宋体"/>
                <w:bCs/>
                <w:color w:val="000000"/>
                <w:kern w:val="0"/>
                <w:szCs w:val="21"/>
              </w:rPr>
            </w:pPr>
            <w:r>
              <w:rPr>
                <w:rFonts w:hint="eastAsia" w:ascii="宋体" w:hAnsi="宋体" w:cs="宋体"/>
                <w:bCs/>
                <w:color w:val="000000"/>
                <w:kern w:val="0"/>
                <w:szCs w:val="21"/>
              </w:rPr>
              <w:t>评分说明</w:t>
            </w:r>
          </w:p>
        </w:tc>
        <w:tc>
          <w:tcPr>
            <w:tcW w:w="898" w:type="dxa"/>
            <w:vAlign w:val="center"/>
          </w:tcPr>
          <w:p w14:paraId="39C6ED38">
            <w:pPr>
              <w:widowControl/>
              <w:snapToGrid w:val="0"/>
              <w:jc w:val="left"/>
              <w:rPr>
                <w:rFonts w:ascii="宋体" w:hAnsi="宋体" w:cs="宋体"/>
                <w:bCs/>
                <w:color w:val="000000"/>
                <w:kern w:val="0"/>
                <w:szCs w:val="21"/>
              </w:rPr>
            </w:pPr>
            <w:r>
              <w:rPr>
                <w:rFonts w:hint="eastAsia" w:ascii="宋体" w:hAnsi="宋体" w:cs="宋体"/>
                <w:bCs/>
                <w:color w:val="000000"/>
                <w:kern w:val="0"/>
                <w:szCs w:val="21"/>
              </w:rPr>
              <w:t>分值</w:t>
            </w:r>
          </w:p>
        </w:tc>
      </w:tr>
      <w:tr w14:paraId="4C688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6" w:hRule="atLeast"/>
        </w:trPr>
        <w:tc>
          <w:tcPr>
            <w:tcW w:w="969" w:type="dxa"/>
            <w:vAlign w:val="center"/>
          </w:tcPr>
          <w:p w14:paraId="3344E2D5">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1</w:t>
            </w:r>
          </w:p>
        </w:tc>
        <w:tc>
          <w:tcPr>
            <w:tcW w:w="1410" w:type="dxa"/>
            <w:vAlign w:val="center"/>
          </w:tcPr>
          <w:p w14:paraId="3FFE3DD1">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报价得分</w:t>
            </w:r>
          </w:p>
        </w:tc>
        <w:tc>
          <w:tcPr>
            <w:tcW w:w="5856" w:type="dxa"/>
            <w:vAlign w:val="center"/>
          </w:tcPr>
          <w:p w14:paraId="3690B2A8">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报价得分＝1</w:t>
            </w:r>
            <w:r>
              <w:rPr>
                <w:rFonts w:ascii="宋体" w:hAnsi="宋体" w:cs="宋体"/>
                <w:bCs/>
                <w:color w:val="000000"/>
                <w:kern w:val="0"/>
                <w:szCs w:val="21"/>
              </w:rPr>
              <w:t>0</w:t>
            </w:r>
            <w:r>
              <w:rPr>
                <w:rFonts w:hint="eastAsia" w:ascii="宋体" w:hAnsi="宋体" w:cs="宋体"/>
                <w:bCs/>
                <w:color w:val="000000"/>
                <w:kern w:val="0"/>
                <w:szCs w:val="21"/>
              </w:rPr>
              <w:t>分×（评标基准价/评审价）</w:t>
            </w:r>
          </w:p>
          <w:p w14:paraId="42D50A0F">
            <w:pPr>
              <w:widowControl/>
              <w:snapToGrid w:val="0"/>
              <w:jc w:val="left"/>
              <w:rPr>
                <w:rFonts w:ascii="宋体" w:hAnsi="宋体" w:cs="宋体"/>
                <w:bCs/>
                <w:color w:val="000000"/>
                <w:kern w:val="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5753ED3A">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0-10分</w:t>
            </w:r>
          </w:p>
        </w:tc>
      </w:tr>
      <w:tr w14:paraId="773DE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0" w:hRule="atLeast"/>
        </w:trPr>
        <w:tc>
          <w:tcPr>
            <w:tcW w:w="969" w:type="dxa"/>
            <w:vAlign w:val="center"/>
          </w:tcPr>
          <w:p w14:paraId="3B21B5BB">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2</w:t>
            </w:r>
          </w:p>
        </w:tc>
        <w:tc>
          <w:tcPr>
            <w:tcW w:w="1410" w:type="dxa"/>
            <w:vAlign w:val="center"/>
          </w:tcPr>
          <w:p w14:paraId="6258A92B">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服务方案</w:t>
            </w:r>
          </w:p>
        </w:tc>
        <w:tc>
          <w:tcPr>
            <w:tcW w:w="5856" w:type="dxa"/>
            <w:vAlign w:val="center"/>
          </w:tcPr>
          <w:p w14:paraId="35E10070">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根据供应商所提供的方案是否有明确的时间计划表，且具有较强的可执行性，较强创新点，贴合主题，很好地传递主题诉求等进行综合打分。综合评价好的得（20-15分），较好的得（14-8分），一般的得（7-0）分。</w:t>
            </w:r>
          </w:p>
        </w:tc>
        <w:tc>
          <w:tcPr>
            <w:tcW w:w="898" w:type="dxa"/>
            <w:vAlign w:val="center"/>
          </w:tcPr>
          <w:p w14:paraId="2FACDC4D">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0-20分</w:t>
            </w:r>
          </w:p>
        </w:tc>
      </w:tr>
      <w:tr w14:paraId="18639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trPr>
        <w:tc>
          <w:tcPr>
            <w:tcW w:w="969" w:type="dxa"/>
            <w:vAlign w:val="center"/>
          </w:tcPr>
          <w:p w14:paraId="231769CF">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3</w:t>
            </w:r>
          </w:p>
        </w:tc>
        <w:tc>
          <w:tcPr>
            <w:tcW w:w="1410" w:type="dxa"/>
            <w:vAlign w:val="center"/>
          </w:tcPr>
          <w:p w14:paraId="303D1E51">
            <w:pPr>
              <w:widowControl/>
              <w:snapToGrid w:val="0"/>
              <w:jc w:val="center"/>
              <w:rPr>
                <w:rFonts w:ascii="宋体" w:hAnsi="宋体" w:cs="宋体"/>
                <w:bCs/>
                <w:color w:val="000000"/>
                <w:kern w:val="0"/>
                <w:szCs w:val="21"/>
              </w:rPr>
            </w:pPr>
            <w:r>
              <w:rPr>
                <w:rFonts w:ascii="宋体" w:hAnsi="宋体" w:cs="宋体"/>
                <w:bCs/>
                <w:color w:val="000000"/>
                <w:kern w:val="0"/>
                <w:szCs w:val="21"/>
              </w:rPr>
              <w:t>企业综合实力</w:t>
            </w:r>
          </w:p>
        </w:tc>
        <w:tc>
          <w:tcPr>
            <w:tcW w:w="5856" w:type="dxa"/>
            <w:vAlign w:val="center"/>
          </w:tcPr>
          <w:p w14:paraId="011F87A8">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根据投标人技术力量、综合服务能力、相关荣誉、公司诚信等进行综合评价。好的得（</w:t>
            </w:r>
            <w:r>
              <w:rPr>
                <w:rFonts w:ascii="宋体" w:hAnsi="宋体" w:cs="宋体"/>
                <w:bCs/>
                <w:color w:val="000000"/>
                <w:kern w:val="0"/>
                <w:szCs w:val="21"/>
              </w:rPr>
              <w:t>10</w:t>
            </w:r>
            <w:r>
              <w:rPr>
                <w:rFonts w:hint="eastAsia" w:ascii="宋体" w:hAnsi="宋体" w:cs="宋体"/>
                <w:bCs/>
                <w:color w:val="000000"/>
                <w:kern w:val="0"/>
                <w:szCs w:val="21"/>
              </w:rPr>
              <w:t>-</w:t>
            </w:r>
            <w:r>
              <w:rPr>
                <w:rFonts w:ascii="宋体" w:hAnsi="宋体" w:cs="宋体"/>
                <w:bCs/>
                <w:color w:val="000000"/>
                <w:kern w:val="0"/>
                <w:szCs w:val="21"/>
              </w:rPr>
              <w:t>8</w:t>
            </w:r>
            <w:r>
              <w:rPr>
                <w:rFonts w:hint="eastAsia" w:ascii="宋体" w:hAnsi="宋体" w:cs="宋体"/>
                <w:bCs/>
                <w:color w:val="000000"/>
                <w:kern w:val="0"/>
                <w:szCs w:val="21"/>
              </w:rPr>
              <w:t>分），较好的得（</w:t>
            </w:r>
            <w:r>
              <w:rPr>
                <w:rFonts w:ascii="宋体" w:hAnsi="宋体" w:cs="宋体"/>
                <w:bCs/>
                <w:color w:val="000000"/>
                <w:kern w:val="0"/>
                <w:szCs w:val="21"/>
              </w:rPr>
              <w:t>7</w:t>
            </w:r>
            <w:r>
              <w:rPr>
                <w:rFonts w:hint="eastAsia" w:ascii="宋体" w:hAnsi="宋体" w:cs="宋体"/>
                <w:bCs/>
                <w:color w:val="000000"/>
                <w:kern w:val="0"/>
                <w:szCs w:val="21"/>
              </w:rPr>
              <w:t>-</w:t>
            </w:r>
            <w:r>
              <w:rPr>
                <w:rFonts w:ascii="宋体" w:hAnsi="宋体" w:cs="宋体"/>
                <w:bCs/>
                <w:color w:val="000000"/>
                <w:kern w:val="0"/>
                <w:szCs w:val="21"/>
              </w:rPr>
              <w:t>5</w:t>
            </w:r>
            <w:r>
              <w:rPr>
                <w:rFonts w:hint="eastAsia" w:ascii="宋体" w:hAnsi="宋体" w:cs="宋体"/>
                <w:bCs/>
                <w:color w:val="000000"/>
                <w:kern w:val="0"/>
                <w:szCs w:val="21"/>
              </w:rPr>
              <w:t>分），一般的得（</w:t>
            </w:r>
            <w:r>
              <w:rPr>
                <w:rFonts w:ascii="宋体" w:hAnsi="宋体" w:cs="宋体"/>
                <w:bCs/>
                <w:color w:val="000000"/>
                <w:kern w:val="0"/>
                <w:szCs w:val="21"/>
              </w:rPr>
              <w:t>4</w:t>
            </w:r>
            <w:r>
              <w:rPr>
                <w:rFonts w:hint="eastAsia" w:ascii="宋体" w:hAnsi="宋体" w:cs="宋体"/>
                <w:bCs/>
                <w:color w:val="000000"/>
                <w:kern w:val="0"/>
                <w:szCs w:val="21"/>
              </w:rPr>
              <w:t>-0分)。</w:t>
            </w:r>
            <w:r>
              <w:rPr>
                <w:rFonts w:ascii="宋体" w:hAnsi="宋体" w:cs="宋体"/>
                <w:bCs/>
                <w:color w:val="000000"/>
                <w:kern w:val="0"/>
                <w:szCs w:val="21"/>
              </w:rPr>
              <w:t xml:space="preserve"> </w:t>
            </w:r>
          </w:p>
        </w:tc>
        <w:tc>
          <w:tcPr>
            <w:tcW w:w="898" w:type="dxa"/>
            <w:vAlign w:val="center"/>
          </w:tcPr>
          <w:p w14:paraId="3EDDA48D">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0-10分</w:t>
            </w:r>
          </w:p>
        </w:tc>
      </w:tr>
      <w:tr w14:paraId="4B89F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2" w:hRule="atLeast"/>
        </w:trPr>
        <w:tc>
          <w:tcPr>
            <w:tcW w:w="969" w:type="dxa"/>
            <w:vAlign w:val="center"/>
          </w:tcPr>
          <w:p w14:paraId="2A8BAF42">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4</w:t>
            </w:r>
          </w:p>
        </w:tc>
        <w:tc>
          <w:tcPr>
            <w:tcW w:w="1410" w:type="dxa"/>
            <w:vAlign w:val="center"/>
          </w:tcPr>
          <w:p w14:paraId="7399C28F">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人员配备</w:t>
            </w:r>
          </w:p>
        </w:tc>
        <w:tc>
          <w:tcPr>
            <w:tcW w:w="5856" w:type="dxa"/>
          </w:tcPr>
          <w:p w14:paraId="1B7C4448">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根据投标单位拟投入的相关技术人员的配备情况，团队人员经验丰富，拥有专业编导、剪辑、特效、动画、音乐等后期制作专业人员，人数充裕，专人负责、响应迅速，得（</w:t>
            </w:r>
            <w:r>
              <w:rPr>
                <w:rFonts w:hint="eastAsia" w:ascii="宋体" w:hAnsi="宋体" w:cs="宋体"/>
                <w:bCs/>
                <w:color w:val="000000"/>
                <w:kern w:val="0"/>
                <w:szCs w:val="21"/>
                <w:lang w:val="en-US" w:eastAsia="zh-CN"/>
              </w:rPr>
              <w:t>20</w:t>
            </w:r>
            <w:r>
              <w:rPr>
                <w:rFonts w:hint="eastAsia" w:ascii="宋体" w:hAnsi="宋体" w:cs="宋体"/>
                <w:bCs/>
                <w:color w:val="000000"/>
                <w:kern w:val="0"/>
                <w:szCs w:val="21"/>
              </w:rPr>
              <w:t>-</w:t>
            </w:r>
            <w:r>
              <w:rPr>
                <w:rFonts w:hint="eastAsia" w:ascii="宋体" w:hAnsi="宋体" w:cs="宋体"/>
                <w:bCs/>
                <w:color w:val="000000"/>
                <w:kern w:val="0"/>
                <w:szCs w:val="21"/>
                <w:lang w:val="en-US" w:eastAsia="zh-CN"/>
              </w:rPr>
              <w:t>15</w:t>
            </w:r>
            <w:r>
              <w:rPr>
                <w:rFonts w:hint="eastAsia" w:ascii="宋体" w:hAnsi="宋体" w:cs="宋体"/>
                <w:bCs/>
                <w:color w:val="000000"/>
                <w:kern w:val="0"/>
                <w:szCs w:val="21"/>
              </w:rPr>
              <w:t>分）；</w:t>
            </w:r>
          </w:p>
          <w:p w14:paraId="26A6530C">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服务团队能力较强，团队人员经验丰富，专人负责，响应较快，得（</w:t>
            </w:r>
            <w:r>
              <w:rPr>
                <w:rFonts w:hint="eastAsia" w:ascii="宋体" w:hAnsi="宋体" w:cs="宋体"/>
                <w:bCs/>
                <w:color w:val="000000"/>
                <w:kern w:val="0"/>
                <w:szCs w:val="21"/>
                <w:lang w:val="en-US" w:eastAsia="zh-CN"/>
              </w:rPr>
              <w:t>14</w:t>
            </w:r>
            <w:r>
              <w:rPr>
                <w:rFonts w:hint="eastAsia" w:ascii="宋体" w:hAnsi="宋体" w:cs="宋体"/>
                <w:bCs/>
                <w:color w:val="000000"/>
                <w:kern w:val="0"/>
                <w:szCs w:val="21"/>
              </w:rPr>
              <w:t>-</w:t>
            </w:r>
            <w:r>
              <w:rPr>
                <w:rFonts w:hint="eastAsia" w:ascii="宋体" w:hAnsi="宋体" w:cs="宋体"/>
                <w:bCs/>
                <w:color w:val="000000"/>
                <w:kern w:val="0"/>
                <w:szCs w:val="21"/>
                <w:lang w:val="en-US" w:eastAsia="zh-CN"/>
              </w:rPr>
              <w:t>8</w:t>
            </w:r>
            <w:r>
              <w:rPr>
                <w:rFonts w:hint="eastAsia" w:ascii="宋体" w:hAnsi="宋体" w:cs="宋体"/>
                <w:bCs/>
                <w:color w:val="000000"/>
                <w:kern w:val="0"/>
                <w:szCs w:val="21"/>
              </w:rPr>
              <w:t>分）；</w:t>
            </w:r>
          </w:p>
          <w:p w14:paraId="5B733D02">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服务团队执行能力一般；服务团队执行能力一般，无专人负责，响应较慢，得（</w:t>
            </w:r>
            <w:r>
              <w:rPr>
                <w:rFonts w:hint="eastAsia" w:ascii="宋体" w:hAnsi="宋体" w:cs="宋体"/>
                <w:bCs/>
                <w:color w:val="000000"/>
                <w:kern w:val="0"/>
                <w:szCs w:val="21"/>
                <w:lang w:val="en-US" w:eastAsia="zh-CN"/>
              </w:rPr>
              <w:t>7</w:t>
            </w:r>
            <w:r>
              <w:rPr>
                <w:rFonts w:hint="eastAsia" w:ascii="宋体" w:hAnsi="宋体" w:cs="宋体"/>
                <w:bCs/>
                <w:color w:val="000000"/>
                <w:kern w:val="0"/>
                <w:szCs w:val="21"/>
              </w:rPr>
              <w:t>-0分）。</w:t>
            </w:r>
          </w:p>
        </w:tc>
        <w:tc>
          <w:tcPr>
            <w:tcW w:w="898" w:type="dxa"/>
            <w:vAlign w:val="center"/>
          </w:tcPr>
          <w:p w14:paraId="735C2557">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w:t>
            </w:r>
            <w:r>
              <w:rPr>
                <w:rFonts w:hint="eastAsia" w:ascii="宋体" w:hAnsi="宋体" w:cs="宋体"/>
                <w:bCs/>
                <w:color w:val="000000"/>
                <w:kern w:val="0"/>
                <w:szCs w:val="21"/>
                <w:lang w:val="en-US" w:eastAsia="zh-CN"/>
              </w:rPr>
              <w:t>2</w:t>
            </w:r>
            <w:bookmarkStart w:id="2" w:name="_GoBack"/>
            <w:bookmarkEnd w:id="2"/>
            <w:r>
              <w:rPr>
                <w:rFonts w:hint="eastAsia" w:ascii="宋体" w:hAnsi="宋体" w:cs="宋体"/>
                <w:bCs/>
                <w:color w:val="000000"/>
                <w:kern w:val="0"/>
                <w:szCs w:val="21"/>
              </w:rPr>
              <w:t>0分</w:t>
            </w:r>
          </w:p>
        </w:tc>
      </w:tr>
      <w:tr w14:paraId="217A9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7" w:hRule="atLeast"/>
        </w:trPr>
        <w:tc>
          <w:tcPr>
            <w:tcW w:w="969" w:type="dxa"/>
            <w:vAlign w:val="center"/>
          </w:tcPr>
          <w:p w14:paraId="3EF5EFBB">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5</w:t>
            </w:r>
          </w:p>
        </w:tc>
        <w:tc>
          <w:tcPr>
            <w:tcW w:w="1410" w:type="dxa"/>
            <w:vAlign w:val="center"/>
          </w:tcPr>
          <w:p w14:paraId="5EDE3F5E">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类似服务经验</w:t>
            </w:r>
          </w:p>
        </w:tc>
        <w:tc>
          <w:tcPr>
            <w:tcW w:w="5856" w:type="dxa"/>
            <w:vAlign w:val="center"/>
          </w:tcPr>
          <w:p w14:paraId="40E7934B">
            <w:pPr>
              <w:rPr>
                <w:rFonts w:ascii="宋体" w:hAnsi="宋体" w:cs="宋体"/>
                <w:bCs/>
                <w:color w:val="000000"/>
              </w:rPr>
            </w:pPr>
            <w:r>
              <w:rPr>
                <w:rFonts w:hint="eastAsia" w:ascii="宋体" w:hAnsi="宋体" w:cs="宋体"/>
                <w:bCs/>
                <w:color w:val="000000"/>
              </w:rPr>
              <w:t>根据供应商提供202</w:t>
            </w:r>
            <w:r>
              <w:rPr>
                <w:rFonts w:hint="eastAsia" w:ascii="宋体" w:hAnsi="宋体" w:cs="宋体"/>
                <w:bCs/>
                <w:color w:val="000000"/>
                <w:lang w:val="en-US" w:eastAsia="zh-CN"/>
              </w:rPr>
              <w:t>3</w:t>
            </w:r>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58BA0352">
            <w:pPr>
              <w:widowControl/>
              <w:snapToGrid w:val="0"/>
              <w:jc w:val="left"/>
              <w:rPr>
                <w:rFonts w:ascii="宋体" w:hAnsi="宋体" w:cs="宋体"/>
                <w:bCs/>
                <w:color w:val="000000"/>
                <w:kern w:val="0"/>
                <w:szCs w:val="21"/>
              </w:rPr>
            </w:pPr>
            <w:r>
              <w:rPr>
                <w:rFonts w:hint="eastAsia" w:ascii="宋体" w:hAnsi="宋体" w:cs="宋体"/>
                <w:bCs/>
                <w:color w:val="000000"/>
              </w:rPr>
              <w:t>（提供合同复印件盖章为准）</w:t>
            </w:r>
            <w:r>
              <w:rPr>
                <w:rFonts w:hint="eastAsia" w:ascii="宋体" w:hAnsi="宋体" w:cs="宋体"/>
                <w:bCs/>
                <w:color w:val="000000"/>
                <w:kern w:val="0"/>
                <w:szCs w:val="21"/>
              </w:rPr>
              <w:t>。</w:t>
            </w:r>
          </w:p>
        </w:tc>
        <w:tc>
          <w:tcPr>
            <w:tcW w:w="898" w:type="dxa"/>
            <w:vAlign w:val="center"/>
          </w:tcPr>
          <w:p w14:paraId="6B3CA2FC">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0-10分</w:t>
            </w:r>
          </w:p>
        </w:tc>
      </w:tr>
      <w:tr w14:paraId="62126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969" w:type="dxa"/>
            <w:vAlign w:val="center"/>
          </w:tcPr>
          <w:p w14:paraId="23692595">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6</w:t>
            </w:r>
          </w:p>
        </w:tc>
        <w:tc>
          <w:tcPr>
            <w:tcW w:w="1410" w:type="dxa"/>
            <w:vAlign w:val="center"/>
          </w:tcPr>
          <w:p w14:paraId="02D7C6F3">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参考样片质量</w:t>
            </w:r>
          </w:p>
        </w:tc>
        <w:tc>
          <w:tcPr>
            <w:tcW w:w="5856" w:type="dxa"/>
            <w:vAlign w:val="center"/>
          </w:tcPr>
          <w:p w14:paraId="4037EC98">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提供的视频样片要具有参考性，类型符合本项目要求。根据提供的样片制作质量，进行综合评分。综合评价好的得（20-15分），较好的得（14-8分），一般的得（7-0）分。</w:t>
            </w:r>
          </w:p>
        </w:tc>
        <w:tc>
          <w:tcPr>
            <w:tcW w:w="898" w:type="dxa"/>
            <w:vAlign w:val="center"/>
          </w:tcPr>
          <w:p w14:paraId="5B5A6D0F">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w:t>
            </w:r>
            <w:r>
              <w:rPr>
                <w:rFonts w:hint="eastAsia" w:ascii="宋体" w:hAnsi="宋体" w:cs="宋体"/>
                <w:bCs/>
                <w:color w:val="000000"/>
                <w:kern w:val="0"/>
                <w:szCs w:val="21"/>
                <w:lang w:val="en-US" w:eastAsia="zh-CN"/>
              </w:rPr>
              <w:t>2</w:t>
            </w:r>
            <w:r>
              <w:rPr>
                <w:rFonts w:hint="eastAsia" w:ascii="宋体" w:hAnsi="宋体" w:cs="宋体"/>
                <w:bCs/>
                <w:color w:val="000000"/>
                <w:kern w:val="0"/>
                <w:szCs w:val="21"/>
              </w:rPr>
              <w:t>0分</w:t>
            </w:r>
          </w:p>
        </w:tc>
      </w:tr>
      <w:tr w14:paraId="0954C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5" w:hRule="atLeast"/>
        </w:trPr>
        <w:tc>
          <w:tcPr>
            <w:tcW w:w="969" w:type="dxa"/>
            <w:vAlign w:val="center"/>
          </w:tcPr>
          <w:p w14:paraId="39275BE1">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7</w:t>
            </w:r>
          </w:p>
        </w:tc>
        <w:tc>
          <w:tcPr>
            <w:tcW w:w="1410" w:type="dxa"/>
            <w:vAlign w:val="center"/>
          </w:tcPr>
          <w:p w14:paraId="3C2B95B2">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售后服务</w:t>
            </w:r>
          </w:p>
        </w:tc>
        <w:tc>
          <w:tcPr>
            <w:tcW w:w="5856" w:type="dxa"/>
            <w:vAlign w:val="center"/>
          </w:tcPr>
          <w:p w14:paraId="5598905E">
            <w:pPr>
              <w:widowControl/>
              <w:snapToGrid w:val="0"/>
              <w:jc w:val="left"/>
              <w:rPr>
                <w:rFonts w:ascii="宋体" w:hAnsi="宋体" w:cs="宋体"/>
                <w:bCs/>
                <w:color w:val="000000"/>
                <w:kern w:val="0"/>
                <w:szCs w:val="21"/>
              </w:rPr>
            </w:pPr>
            <w:r>
              <w:rPr>
                <w:rFonts w:hint="eastAsia" w:ascii="宋体" w:hAnsi="宋体" w:cs="宋体"/>
                <w:bCs/>
                <w:color w:val="000000"/>
                <w:kern w:val="0"/>
                <w:szCs w:val="21"/>
              </w:rPr>
              <w:t>对本项目售后服务的完善程度，服务响应时间是否及时，包含服务响应、联系方式、响应时间、响应措施、合理化建议、重大问题迅速反应并增加工作人员等进行综合评审。综合评价好的得（10-7分），较好的得（6-4分），一般的得（3-0）分。</w:t>
            </w:r>
          </w:p>
        </w:tc>
        <w:tc>
          <w:tcPr>
            <w:tcW w:w="898" w:type="dxa"/>
            <w:vAlign w:val="center"/>
          </w:tcPr>
          <w:p w14:paraId="46EA9745">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0-10分</w:t>
            </w:r>
          </w:p>
        </w:tc>
      </w:tr>
    </w:tbl>
    <w:p w14:paraId="7F5B0BCF">
      <w:pPr>
        <w:snapToGrid w:val="0"/>
        <w:spacing w:before="156" w:beforeLines="50" w:line="360" w:lineRule="auto"/>
        <w:rPr>
          <w:rFonts w:ascii="宋体"/>
          <w:b/>
          <w:color w:val="000000"/>
          <w:sz w:val="24"/>
          <w:szCs w:val="24"/>
          <w:u w:val="single"/>
        </w:rPr>
      </w:pPr>
      <w:r>
        <w:rPr>
          <w:rFonts w:hint="eastAsia" w:ascii="宋体" w:hAnsi="宋体"/>
          <w:b/>
          <w:color w:val="000000"/>
          <w:sz w:val="24"/>
          <w:szCs w:val="24"/>
          <w:u w:val="single"/>
        </w:rPr>
        <w:t>注：以上各项评分内容，如报价人未提供相对应内容，磋商小组不受最低评分标准限制，可予以零分计算。</w:t>
      </w:r>
    </w:p>
    <w:p w14:paraId="179E816F">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3、</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60487423">
      <w:pPr>
        <w:spacing w:line="440" w:lineRule="exact"/>
        <w:ind w:left="96" w:firstLine="480" w:firstLineChars="200"/>
        <w:rPr>
          <w:rFonts w:ascii="宋体"/>
          <w:color w:val="000000"/>
          <w:sz w:val="24"/>
          <w:szCs w:val="24"/>
        </w:rPr>
      </w:pPr>
      <w:r>
        <w:rPr>
          <w:rFonts w:hint="eastAsia" w:ascii="宋体" w:hAnsi="宋体"/>
          <w:color w:val="000000"/>
          <w:sz w:val="24"/>
          <w:szCs w:val="24"/>
        </w:rPr>
        <w:t>由磋商小组成员对每一份响应文件进行独立评分，然后取算术平均值（保留小数点两位）。计算每个报价人的实际得分（商务得分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07270AF1">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出现下列情形之一的，采购人应当终止竞争性磋商采购活动，发布项目终止公告并说明原因，重新开展采购活动：</w:t>
      </w:r>
    </w:p>
    <w:p w14:paraId="0BC88473">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）因情况变化，不再符合规定的竞争性磋商采购方式适用情形的；</w:t>
      </w:r>
    </w:p>
    <w:p w14:paraId="3FD57561">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）出现影响采购公正的违法、违规行为的；</w:t>
      </w:r>
    </w:p>
    <w:p w14:paraId="1C3776C8">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3</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3C26CB57">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磋商小组将根据磋商采购项目的具体情况评定成交报价人。</w:t>
      </w:r>
    </w:p>
    <w:p w14:paraId="1124624D">
      <w:pPr>
        <w:pStyle w:val="2"/>
        <w:spacing w:line="440" w:lineRule="exact"/>
        <w:rPr>
          <w:b/>
          <w:szCs w:val="24"/>
        </w:rPr>
      </w:pPr>
    </w:p>
    <w:p w14:paraId="346E77A4">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ascii="宋体" w:hAnsi="宋体"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B0"/>
    <w:rsid w:val="000F6E8E"/>
    <w:rsid w:val="00182F2D"/>
    <w:rsid w:val="001B40F2"/>
    <w:rsid w:val="001D28C8"/>
    <w:rsid w:val="002517E6"/>
    <w:rsid w:val="002A71DC"/>
    <w:rsid w:val="004444E7"/>
    <w:rsid w:val="00492C85"/>
    <w:rsid w:val="00521B79"/>
    <w:rsid w:val="005B0BE0"/>
    <w:rsid w:val="005D051C"/>
    <w:rsid w:val="005E4052"/>
    <w:rsid w:val="00635F2A"/>
    <w:rsid w:val="006801F2"/>
    <w:rsid w:val="006C0972"/>
    <w:rsid w:val="007246CA"/>
    <w:rsid w:val="007313DF"/>
    <w:rsid w:val="007801CF"/>
    <w:rsid w:val="007B0688"/>
    <w:rsid w:val="00833059"/>
    <w:rsid w:val="00861575"/>
    <w:rsid w:val="00901372"/>
    <w:rsid w:val="00954BF3"/>
    <w:rsid w:val="00960B12"/>
    <w:rsid w:val="009807F1"/>
    <w:rsid w:val="00A91FED"/>
    <w:rsid w:val="00BA4FED"/>
    <w:rsid w:val="00BB2792"/>
    <w:rsid w:val="00BD3F0F"/>
    <w:rsid w:val="00C05E21"/>
    <w:rsid w:val="00C81C36"/>
    <w:rsid w:val="00E845DE"/>
    <w:rsid w:val="00EA2286"/>
    <w:rsid w:val="00F0643D"/>
    <w:rsid w:val="00F669B0"/>
    <w:rsid w:val="00FB5D35"/>
    <w:rsid w:val="00FC6A4E"/>
    <w:rsid w:val="00FE05C4"/>
    <w:rsid w:val="36BFACFD"/>
    <w:rsid w:val="7BFFD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Calibri" w:hAnsi="Calibri" w:eastAsia="宋体" w:cs="Times New Roman"/>
      <w:sz w:val="18"/>
      <w:szCs w:val="18"/>
    </w:rPr>
  </w:style>
  <w:style w:type="character" w:customStyle="1" w:styleId="8">
    <w:name w:val="页脚 字符"/>
    <w:basedOn w:val="6"/>
    <w:link w:val="3"/>
    <w:qFormat/>
    <w:uiPriority w:val="99"/>
    <w:rPr>
      <w:rFonts w:ascii="Calibri" w:hAnsi="Calibri" w:eastAsia="宋体" w:cs="Times New Roman"/>
      <w:sz w:val="18"/>
      <w:szCs w:val="18"/>
    </w:rPr>
  </w:style>
  <w:style w:type="character" w:customStyle="1" w:styleId="9">
    <w:name w:val="纯文本 字符"/>
    <w:basedOn w:val="6"/>
    <w:link w:val="2"/>
    <w:qFormat/>
    <w:uiPriority w:val="99"/>
    <w:rPr>
      <w:rFonts w:ascii="宋体" w:hAnsi="宋体" w:eastAsia="宋体" w:cs="Times New Roman"/>
      <w:color w:val="000000"/>
      <w:kern w:val="0"/>
      <w:sz w:val="24"/>
      <w:szCs w:val="20"/>
    </w:rPr>
  </w:style>
  <w:style w:type="paragraph" w:styleId="10">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202</Words>
  <Characters>1156</Characters>
  <Lines>9</Lines>
  <Paragraphs>2</Paragraphs>
  <TotalTime>1</TotalTime>
  <ScaleCrop>false</ScaleCrop>
  <LinksUpToDate>false</LinksUpToDate>
  <CharactersWithSpaces>1356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2021-04-26T14:59:00Z</dcterms:created>
  <dc:creator>张梅</dc:creator>
  <cp:lastModifiedBy>一只小皮蛋啊</cp:lastModifiedBy>
  <dcterms:modified xsi:type="dcterms:W3CDTF">2026-06-01T10:27:15Z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625DCFF19E90198EB8ED1C6AA196B1B0_42</vt:lpwstr>
  </property>
</Properties>
</file>