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94E2F6">
      <w:pPr>
        <w:jc w:val="center"/>
        <w:rPr>
          <w:rFonts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6-2028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年度上海市健康促进中心</w:t>
      </w:r>
    </w:p>
    <w:p w14:paraId="51B161CE">
      <w:pPr>
        <w:jc w:val="center"/>
        <w:rPr>
          <w:rFonts w:hint="eastAsia" w:ascii="方正小标宋简体" w:eastAsia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部门绩效评估项目招标需求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（新）</w:t>
      </w:r>
    </w:p>
    <w:p w14:paraId="21CDD432">
      <w:pPr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55E0A43">
      <w:pPr>
        <w:ind w:firstLine="640" w:firstLineChars="200"/>
        <w:jc w:val="left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为健全科学规范的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部门</w:t>
      </w:r>
      <w:r>
        <w:rPr>
          <w:rFonts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绩效评估体系，客观评价各部门重点工作、工作效能及协同配合情况，中心拟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开展</w:t>
      </w:r>
      <w:r>
        <w:rPr>
          <w:rFonts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2028年度部门绩效评估项目，相关招标需求明确如下：</w:t>
      </w:r>
    </w:p>
    <w:p w14:paraId="16D49EF8">
      <w:pPr>
        <w:widowControl/>
        <w:numPr>
          <w:ilvl w:val="-1"/>
          <w:numId w:val="0"/>
        </w:numPr>
        <w:ind w:firstLine="640" w:firstLineChars="200"/>
        <w:jc w:val="left"/>
        <w:rPr>
          <w:rFonts w:hint="eastAsia" w:ascii="黑体" w:hAns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一、项目概况</w:t>
      </w:r>
    </w:p>
    <w:p w14:paraId="553536B0">
      <w:pPr>
        <w:numPr>
          <w:ilvl w:val="0"/>
          <w:numId w:val="1"/>
        </w:numPr>
        <w:ind w:firstLine="640" w:firstLineChars="200"/>
        <w:jc w:val="left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项目目标</w:t>
      </w:r>
    </w:p>
    <w:p w14:paraId="62D27E4A">
      <w:pPr>
        <w:ind w:firstLine="640" w:firstLineChars="200"/>
        <w:jc w:val="left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1.由</w:t>
      </w:r>
      <w:r>
        <w:rPr>
          <w:rFonts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第三方机构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制定并</w:t>
      </w:r>
      <w:r>
        <w:rPr>
          <w:rFonts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优化考核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方案</w:t>
      </w:r>
      <w:r>
        <w:rPr>
          <w:rFonts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、组织考评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测</w:t>
      </w:r>
      <w:r>
        <w:rPr>
          <w:rFonts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算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，尽可能真实地反映各部门的工作效率和成果，尤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其在重点项目推进方面，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使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中心</w:t>
      </w:r>
      <w:r>
        <w:rPr>
          <w:rFonts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年度部门绩效评估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结果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更加客观、科学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70198025">
      <w:pPr>
        <w:ind w:firstLine="640" w:firstLineChars="200"/>
        <w:jc w:val="left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2.通过绩效评估，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帮助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各部门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厘清工作薄弱环节，明确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改进方向，进一步提高工作效能。</w:t>
      </w:r>
    </w:p>
    <w:p w14:paraId="0E7989B1">
      <w:pPr>
        <w:ind w:firstLine="640" w:firstLineChars="200"/>
        <w:jc w:val="left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3.依托评估成果，为中心内部管理优化、资源配置、制度完善、部门职责调整提供数据支撑与决策参考。</w:t>
      </w:r>
    </w:p>
    <w:p w14:paraId="7D2EEC1A">
      <w:pPr>
        <w:keepNext w:val="0"/>
        <w:keepLines w:val="0"/>
        <w:widowControl/>
        <w:suppressLineNumbers w:val="0"/>
        <w:ind w:firstLine="640"/>
        <w:jc w:val="left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（二）服务期限</w:t>
      </w:r>
    </w:p>
    <w:p w14:paraId="1AF122A8">
      <w:pPr>
        <w:ind w:firstLine="640" w:firstLineChars="200"/>
        <w:jc w:val="left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本项目一次性招标服务周期三年（2026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noBreakHyphen/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2028 年度），合同实行一年一签模式。每年服务期满后，中心将对中标服务商开展年度履约考核（详见附表），考核结果达到合格及以上，方可续签下一年度服务合同；年度考核不合格的，中心有权终止合同，不再续期。</w:t>
      </w:r>
    </w:p>
    <w:p w14:paraId="725D6306">
      <w:pPr>
        <w:keepNext w:val="0"/>
        <w:keepLines w:val="0"/>
        <w:widowControl/>
        <w:numPr>
          <w:ilvl w:val="0"/>
          <w:numId w:val="2"/>
        </w:numPr>
        <w:suppressLineNumbers w:val="0"/>
        <w:ind w:firstLine="640"/>
        <w:jc w:val="left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项目时间安排</w:t>
      </w:r>
    </w:p>
    <w:p w14:paraId="66422B45">
      <w:pPr>
        <w:ind w:firstLine="640" w:firstLineChars="200"/>
        <w:jc w:val="left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1.原则上每年 12月初，根据中心提供的计划、总结等材料，完成评估指标确定、评分细则等工作，制订当年度部室绩效评估方案。</w:t>
      </w:r>
    </w:p>
    <w:p w14:paraId="30BAA455">
      <w:pPr>
        <w:ind w:firstLine="640" w:firstLineChars="200"/>
        <w:jc w:val="left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2.12月中旬正式启动对健促中心各部门工作业绩、重点任务、协同履职的全维度评估工作，完成资料收集、访谈调研、指标核算，形成初步结果。</w:t>
      </w:r>
    </w:p>
    <w:p w14:paraId="6933AA8B">
      <w:pPr>
        <w:ind w:firstLine="640" w:firstLineChars="200"/>
        <w:jc w:val="left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3.12月31日前完成当年度部门绩效评估报告（含整体评估总报告、分部门评估分析报告、问题清单、改进建议），提交中心审核。</w:t>
      </w:r>
    </w:p>
    <w:p w14:paraId="7439DC7C">
      <w:pPr>
        <w:ind w:firstLine="640" w:firstLineChars="200"/>
        <w:jc w:val="left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4.次年1月，完成项目工作总结、成果汇报，组织绩效评估结果反馈沟通会，整理归档全部项目资料。</w:t>
      </w:r>
    </w:p>
    <w:p w14:paraId="5F92A1C2">
      <w:pPr>
        <w:ind w:firstLine="640" w:firstLineChars="200"/>
        <w:jc w:val="left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5.次年2月底前，结合上一年度评估实施情况，完成下一年度绩效评估方案的初步优化调整工作。</w:t>
      </w:r>
    </w:p>
    <w:p w14:paraId="0920861E">
      <w:pPr>
        <w:keepNext w:val="0"/>
        <w:keepLines w:val="0"/>
        <w:widowControl/>
        <w:suppressLineNumbers w:val="0"/>
        <w:ind w:firstLine="640" w:firstLineChars="200"/>
        <w:jc w:val="left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二、工作要求</w:t>
      </w:r>
    </w:p>
    <w:p w14:paraId="1AEA7EF5">
      <w:pP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1.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根据中心的战略发展目标，对现有的组织架构进行评估，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明确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各部门在中心整体布局中的定位与作用。</w:t>
      </w:r>
    </w:p>
    <w:p w14:paraId="674B2775">
      <w:pP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2.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详细梳理中心各部门的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职责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、工作计划、工作总结，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评估重点项目执行情况，提炼关键绩效指标。</w:t>
      </w:r>
    </w:p>
    <w:p w14:paraId="23F9B8F5">
      <w:pPr>
        <w:ind w:firstLine="64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综合运用多种评估手段，结合中心的实际情况，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对部门年度工作进行整体评估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1DD0306B">
      <w:pPr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完成《上海市健康促进中心**年度部门工作业绩评估报告》，包含总体评估情况、各部门得分与等级、亮点成效、存在问题、短板分析，同时针对中心绩效管理体系建设、部门管理、资源调配、制度优化等方面，提供可落地的管理建议。</w:t>
      </w:r>
    </w:p>
    <w:p w14:paraId="013E174C">
      <w:pPr>
        <w:ind w:firstLine="64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建立有效的沟通反馈机制，及时收集各方意见与建议，持续改进与完善绩效评估方案。</w:t>
      </w:r>
    </w:p>
    <w:p w14:paraId="034C092C">
      <w:pPr>
        <w:ind w:firstLine="640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6.服务商及项目团队对项目实施过程接触到的内部工作资料、业务数据、评估结果等涉密内部信息严格保密，不得对外泄露。</w:t>
      </w:r>
    </w:p>
    <w:p w14:paraId="61631EF8">
      <w:pPr>
        <w:ind w:firstLine="64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黑体" w:hAnsi="黑体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相关</w:t>
      </w: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要求</w:t>
      </w:r>
    </w:p>
    <w:p w14:paraId="722387E2">
      <w:pPr>
        <w:spacing w:line="360" w:lineRule="auto"/>
        <w:ind w:firstLine="640" w:firstLineChars="200"/>
        <w:rPr>
          <w:rFonts w:ascii="仿宋_GB2312" w:eastAsia="仿宋_GB2312" w:hAnsi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hAnsi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eastAsia="仿宋_GB2312" w:hAnsi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应有人力资源绩效评估方面的评估经验，有专业的公共管理、绩效评估等专业人员和专家团队指导整个项目；</w:t>
      </w:r>
    </w:p>
    <w:p w14:paraId="3AEDBBDE">
      <w:pPr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具备丰富的</w:t>
      </w:r>
      <w:r>
        <w:rPr>
          <w:rFonts w:hint="eastAsia" w:ascii="仿宋_GB2312" w:eastAsia="仿宋_GB2312" w:hAnsi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人力资源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绩效管理咨询经验，近三年内完成过类似的</w:t>
      </w:r>
      <w:r>
        <w:rPr>
          <w:rFonts w:hint="eastAsia" w:ascii="仿宋_GB2312" w:eastAsia="仿宋_GB2312" w:hAnsi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人力资源</w:t>
      </w:r>
      <w:bookmarkStart w:id="0" w:name="_GoBack"/>
      <w:bookmarkEnd w:id="0"/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绩效评估项目，并提供相关项目案例证明材料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优先考虑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5BB712DE">
      <w:pPr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拥有专业的项目团队，团队成员具备相关专业背景与丰富的项目实施经验。</w:t>
      </w:r>
    </w:p>
    <w:p w14:paraId="628A2287">
      <w:pPr>
        <w:ind w:firstLine="640" w:firstLineChars="200"/>
        <w:rPr>
          <w:rFonts w:hint="eastAsia" w:ascii="黑体" w:hAnsi="黑体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黑体" w:hAnsi="黑体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项目预算</w:t>
      </w:r>
    </w:p>
    <w:p w14:paraId="43C3F8FD">
      <w:pPr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每年评估费用9.8万</w:t>
      </w:r>
    </w:p>
    <w:p w14:paraId="3EE2A95C">
      <w:pP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 w14:paraId="2C38AFD3">
      <w:pPr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365B9B06">
      <w:pPr>
        <w:jc w:val="center"/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中标服务商年度履约考核细则</w:t>
      </w:r>
    </w:p>
    <w:tbl>
      <w:tblPr>
        <w:tblStyle w:val="8"/>
        <w:tblW w:w="88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9"/>
        <w:gridCol w:w="1078"/>
        <w:gridCol w:w="6300"/>
      </w:tblGrid>
      <w:tr w14:paraId="694D8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499" w:type="dxa"/>
            <w:shd w:val="clear" w:color="auto" w:fill="auto"/>
            <w:vAlign w:val="center"/>
          </w:tcPr>
          <w:p w14:paraId="5A2883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黑体" w:hAnsi="黑体" w:eastAsia="黑体" w:cs="黑体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考核维度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5938BE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黑体" w:hAnsi="黑体" w:eastAsia="黑体" w:cs="黑体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6B3B36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黑体" w:hAnsi="黑体" w:eastAsia="黑体" w:cs="黑体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考核内容与评分规则</w:t>
            </w:r>
          </w:p>
        </w:tc>
      </w:tr>
      <w:tr w14:paraId="5F7C5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</w:trPr>
        <w:tc>
          <w:tcPr>
            <w:tcW w:w="1499" w:type="dxa"/>
            <w:shd w:val="clear" w:color="auto" w:fill="auto"/>
            <w:vAlign w:val="center"/>
          </w:tcPr>
          <w:p w14:paraId="037BB8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项目进度管控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33A8A8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25分</w: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6FFEF8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严格按照招标文件约定时间节点完成方案确认、评估实施、报告提交、总结归档；每出现一次无正当理由延期扣 5 分，严重逾期造成工作延误的本项不得分。</w:t>
            </w:r>
          </w:p>
        </w:tc>
      </w:tr>
      <w:tr w14:paraId="5D6DF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" w:type="dxa"/>
            <w:shd w:val="clear" w:color="auto" w:fill="auto"/>
            <w:vAlign w:val="center"/>
          </w:tcPr>
          <w:p w14:paraId="69CC8C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成果质量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79C18E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50分</w: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5E1C11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评估方案科学适配中心实际；指标体系合理；评估过程严谨客观；报告内容完整、逻辑清晰，问题分析到位，改进建议具备实操性；交付成果通过甲方审核。成果存在重大疏漏、逻辑错误、数据错误，单次扣 10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noBreakHyphen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 分。</w:t>
            </w:r>
          </w:p>
        </w:tc>
      </w:tr>
      <w:tr w14:paraId="33494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" w:type="dxa"/>
            <w:shd w:val="clear" w:color="auto" w:fill="auto"/>
            <w:vAlign w:val="center"/>
          </w:tcPr>
          <w:p w14:paraId="3D0BD1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服务沟通与响应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605530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77A394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建立常态化沟通机制，及时响应甲方工作需求；积极对接各业务部门，妥善收集处理各方意见；人员稳定，核心人员未经许可不得随意更换。响应不及时、沟通不到位每次扣 3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noBreakHyphen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 分。</w:t>
            </w:r>
          </w:p>
        </w:tc>
      </w:tr>
      <w:tr w14:paraId="3DC73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" w:type="dxa"/>
            <w:shd w:val="clear" w:color="auto" w:fill="auto"/>
            <w:vAlign w:val="center"/>
          </w:tcPr>
          <w:p w14:paraId="72D9A2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文档归档与交付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7405AC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05FE21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交付全套成果文档，资料归档规范完整。资料缺失、交付不全不得分。</w:t>
            </w:r>
          </w:p>
        </w:tc>
      </w:tr>
    </w:tbl>
    <w:p w14:paraId="710200A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BED8495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考核得分≥80 分，为</w:t>
      </w:r>
      <w:r>
        <w:rPr>
          <w:rStyle w:val="10"/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合格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，可进入下一年度合同续签流程；</w:t>
      </w:r>
    </w:p>
    <w:p w14:paraId="713086AF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60 分≤得分＜80 分，为</w:t>
      </w:r>
      <w:r>
        <w:rPr>
          <w:rStyle w:val="10"/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基本合格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，甲方可要求服务商提交整改方案，限期完成整改，整改完成后评估是否续签；整改不到位，不予续签；</w:t>
      </w:r>
    </w:p>
    <w:p w14:paraId="481AEE98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得分＜60 分，为</w:t>
      </w:r>
      <w:r>
        <w:rPr>
          <w:rStyle w:val="10"/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不合格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，甲方有权终止本年度服务合同，不再续签下一年度，同时按合同约定追究服务商违约责任。</w:t>
      </w:r>
    </w:p>
    <w:p w14:paraId="672DE5E2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出现下列情形之一，直接判定年度考核不合格： ①发生项目相关内部信息泄露事件； ②未经甲方书面同意擅自更换项目核心负责人及主要技术人员； ③多次严重逾期交付，严重影响中心年度绩效工作推进； ④评估成果存在重大弄虚作假，严重违背客观公正原则。</w:t>
      </w:r>
    </w:p>
    <w:p w14:paraId="1383B173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若服务商连续两年考核结果为基本合格，第三年不再予以续签。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Noto Sans Symbols2">
    <w:panose1 w:val="020B0502040504020204"/>
    <w:charset w:val="00"/>
    <w:family w:val="auto"/>
    <w:pitch w:val="default"/>
    <w:sig w:usb0="80000003" w:usb1="0200E3E4" w:usb2="00040020" w:usb3="0580A048" w:csb0="0000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E3C34FB"/>
    <w:multiLevelType w:val="singleLevel"/>
    <w:tmpl w:val="EE3C34FB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185C8637"/>
    <w:multiLevelType w:val="multilevel"/>
    <w:tmpl w:val="185C863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7BF348CF"/>
    <w:multiLevelType w:val="singleLevel"/>
    <w:tmpl w:val="7BF348CF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005"/>
    <w:rsid w:val="000B6874"/>
    <w:rsid w:val="000D17A4"/>
    <w:rsid w:val="003E72F8"/>
    <w:rsid w:val="00680883"/>
    <w:rsid w:val="006B0B46"/>
    <w:rsid w:val="007021B1"/>
    <w:rsid w:val="008E70B4"/>
    <w:rsid w:val="00961B0E"/>
    <w:rsid w:val="00D64005"/>
    <w:rsid w:val="00E205FF"/>
    <w:rsid w:val="00EE5787"/>
    <w:rsid w:val="5AFF8DD3"/>
    <w:rsid w:val="5DBF616C"/>
    <w:rsid w:val="5F9B2F8E"/>
    <w:rsid w:val="67F360FF"/>
    <w:rsid w:val="75E67806"/>
    <w:rsid w:val="77B2DF47"/>
    <w:rsid w:val="7DB5B846"/>
    <w:rsid w:val="7F7F83D3"/>
    <w:rsid w:val="7FF76811"/>
    <w:rsid w:val="7FFD9041"/>
    <w:rsid w:val="99FFAEB0"/>
    <w:rsid w:val="B3EDFA78"/>
    <w:rsid w:val="B9ABA436"/>
    <w:rsid w:val="EDB70030"/>
    <w:rsid w:val="EF6B0BA7"/>
    <w:rsid w:val="EFCF196F"/>
    <w:rsid w:val="F3FA385A"/>
    <w:rsid w:val="F7A138DB"/>
    <w:rsid w:val="F7BB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</w:rPr>
  </w:style>
  <w:style w:type="character" w:customStyle="1" w:styleId="11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211</Words>
  <Characters>1207</Characters>
  <Lines>10</Lines>
  <Paragraphs>2</Paragraphs>
  <TotalTime>0</TotalTime>
  <ScaleCrop>false</ScaleCrop>
  <LinksUpToDate>false</LinksUpToDate>
  <CharactersWithSpaces>1416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2025-10-16T15:18:00Z</dcterms:created>
  <dc:creator>王怡</dc:creator>
  <cp:lastModifiedBy>一只小皮蛋啊</cp:lastModifiedBy>
  <dcterms:modified xsi:type="dcterms:W3CDTF">2026-08-25T15:11:40Z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C02445657DB690A5E122606A318688AA_42</vt:lpwstr>
  </property>
</Properties>
</file>