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2F61E">
      <w:pPr>
        <w:tabs>
          <w:tab w:val="left" w:pos="360"/>
          <w:tab w:val="left" w:pos="1800"/>
        </w:tabs>
        <w:jc w:val="center"/>
        <w:outlineLvl w:val="1"/>
        <w:rPr>
          <w:rFonts w:ascii="宋体" w:hAnsi="宋体"/>
          <w:b/>
          <w:bCs/>
          <w:color w:val="000000"/>
          <w:sz w:val="24"/>
          <w:szCs w:val="24"/>
        </w:rPr>
      </w:pPr>
      <w:bookmarkStart w:id="0" w:name="_Toc8057063"/>
      <w:bookmarkStart w:id="1" w:name="_Toc33536006"/>
      <w:r>
        <w:rPr>
          <w:rFonts w:hint="eastAsia" w:ascii="宋体" w:hAnsi="宋体"/>
          <w:b/>
          <w:bCs/>
          <w:color w:val="000000"/>
          <w:sz w:val="24"/>
          <w:szCs w:val="24"/>
        </w:rPr>
        <w:t>评分细则</w:t>
      </w:r>
      <w:bookmarkEnd w:id="0"/>
      <w:bookmarkEnd w:id="1"/>
    </w:p>
    <w:p w14:paraId="0F67BF92">
      <w:pPr>
        <w:pStyle w:val="10"/>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本项目的评审采用</w:t>
      </w:r>
      <w:r>
        <w:rPr>
          <w:rFonts w:hint="eastAsia" w:ascii="宋体" w:hAnsi="宋体" w:cs="宋体"/>
          <w:color w:val="000000"/>
          <w:sz w:val="24"/>
          <w:szCs w:val="24"/>
        </w:rPr>
        <w:t>综合评分法</w:t>
      </w:r>
      <w:r>
        <w:rPr>
          <w:rFonts w:hint="eastAsia" w:ascii="宋体" w:hAnsi="宋体"/>
          <w:bCs/>
          <w:color w:val="000000"/>
          <w:sz w:val="24"/>
          <w:szCs w:val="24"/>
        </w:rPr>
        <w:t>，</w:t>
      </w:r>
      <w:r>
        <w:rPr>
          <w:rFonts w:hint="eastAsia" w:ascii="宋体" w:hAnsi="宋体"/>
          <w:color w:val="000000"/>
          <w:sz w:val="24"/>
          <w:szCs w:val="24"/>
        </w:rPr>
        <w:t>总分</w:t>
      </w:r>
      <w:r>
        <w:rPr>
          <w:rFonts w:ascii="宋体" w:hAnsi="宋体"/>
          <w:color w:val="000000"/>
          <w:sz w:val="24"/>
          <w:szCs w:val="24"/>
        </w:rPr>
        <w:t>100</w:t>
      </w:r>
      <w:r>
        <w:rPr>
          <w:rFonts w:hint="eastAsia" w:ascii="宋体" w:hAnsi="宋体"/>
          <w:color w:val="000000"/>
          <w:sz w:val="24"/>
          <w:szCs w:val="24"/>
        </w:rPr>
        <w:t>分，其中技术标权数9</w:t>
      </w:r>
      <w:r>
        <w:rPr>
          <w:rFonts w:ascii="宋体" w:hAnsi="宋体"/>
          <w:color w:val="000000"/>
          <w:sz w:val="24"/>
          <w:szCs w:val="24"/>
        </w:rPr>
        <w:t>0</w:t>
      </w:r>
      <w:r>
        <w:rPr>
          <w:rFonts w:hint="eastAsia" w:ascii="宋体" w:hAnsi="宋体"/>
          <w:color w:val="000000"/>
          <w:sz w:val="24"/>
          <w:szCs w:val="24"/>
        </w:rPr>
        <w:t>％，商务标权数为1</w:t>
      </w:r>
      <w:r>
        <w:rPr>
          <w:rFonts w:ascii="宋体" w:hAnsi="宋体"/>
          <w:color w:val="000000"/>
          <w:sz w:val="24"/>
          <w:szCs w:val="24"/>
        </w:rPr>
        <w:t>0</w:t>
      </w:r>
      <w:r>
        <w:rPr>
          <w:rFonts w:hint="eastAsia" w:ascii="宋体" w:hAnsi="宋体"/>
          <w:color w:val="000000"/>
          <w:sz w:val="24"/>
          <w:szCs w:val="24"/>
        </w:rPr>
        <w:t>％。</w:t>
      </w:r>
    </w:p>
    <w:p w14:paraId="17BAAB0F">
      <w:pPr>
        <w:pStyle w:val="10"/>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磋商文件规定签订合同等原因取消中选资格，则按排名顺序依次确定排名第二的中选候选人为中选人。具体评分细则如下：</w:t>
      </w:r>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373DE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6C3D86C6">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36F19501">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07381A92">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589044F4">
            <w:pPr>
              <w:jc w:val="center"/>
              <w:rPr>
                <w:rFonts w:ascii="宋体" w:cs="宋体"/>
                <w:color w:val="000000"/>
                <w:szCs w:val="21"/>
              </w:rPr>
            </w:pPr>
            <w:r>
              <w:rPr>
                <w:rFonts w:hint="eastAsia" w:ascii="宋体" w:hAnsi="宋体" w:cs="宋体"/>
                <w:color w:val="000000"/>
                <w:szCs w:val="21"/>
              </w:rPr>
              <w:t>分值</w:t>
            </w:r>
          </w:p>
        </w:tc>
      </w:tr>
      <w:tr w14:paraId="74828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4A483E13">
            <w:pPr>
              <w:jc w:val="center"/>
              <w:rPr>
                <w:rFonts w:ascii="宋体" w:cs="宋体"/>
                <w:color w:val="000000"/>
                <w:szCs w:val="21"/>
              </w:rPr>
            </w:pPr>
            <w:r>
              <w:rPr>
                <w:rFonts w:ascii="宋体" w:hAnsi="宋体" w:cs="宋体"/>
                <w:color w:val="000000"/>
                <w:szCs w:val="21"/>
              </w:rPr>
              <w:t>1</w:t>
            </w:r>
          </w:p>
        </w:tc>
        <w:tc>
          <w:tcPr>
            <w:tcW w:w="1812" w:type="dxa"/>
            <w:vAlign w:val="center"/>
          </w:tcPr>
          <w:p w14:paraId="50C3045A">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25EDF346">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238BE967">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18C855E7">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45DC1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641" w:type="dxa"/>
            <w:vMerge w:val="restart"/>
            <w:vAlign w:val="center"/>
          </w:tcPr>
          <w:p w14:paraId="674B0714">
            <w:pPr>
              <w:jc w:val="center"/>
              <w:rPr>
                <w:rFonts w:ascii="宋体" w:cs="宋体"/>
                <w:color w:val="000000"/>
                <w:szCs w:val="21"/>
              </w:rPr>
            </w:pPr>
            <w:r>
              <w:rPr>
                <w:rFonts w:ascii="宋体" w:hAnsi="宋体" w:cs="宋体"/>
                <w:color w:val="000000"/>
                <w:szCs w:val="21"/>
              </w:rPr>
              <w:t>2</w:t>
            </w:r>
          </w:p>
        </w:tc>
        <w:tc>
          <w:tcPr>
            <w:tcW w:w="1812" w:type="dxa"/>
            <w:vMerge w:val="restart"/>
            <w:vAlign w:val="center"/>
          </w:tcPr>
          <w:p w14:paraId="4B4C3FE7">
            <w:pPr>
              <w:rPr>
                <w:rFonts w:ascii="Times New Roman" w:hAnsi="Times New Roman"/>
              </w:rPr>
            </w:pPr>
            <w:r>
              <w:rPr>
                <w:rFonts w:hint="eastAsia" w:ascii="宋体" w:hAnsi="宋体"/>
              </w:rPr>
              <w:t>施工组织方案</w:t>
            </w:r>
          </w:p>
          <w:p w14:paraId="027636B5">
            <w:pPr>
              <w:jc w:val="center"/>
              <w:rPr>
                <w:rFonts w:ascii="宋体" w:cs="宋体"/>
                <w:bCs/>
                <w:color w:val="000000"/>
                <w:szCs w:val="21"/>
              </w:rPr>
            </w:pPr>
          </w:p>
        </w:tc>
        <w:tc>
          <w:tcPr>
            <w:tcW w:w="5782" w:type="dxa"/>
            <w:vAlign w:val="center"/>
          </w:tcPr>
          <w:p w14:paraId="1A127B4A">
            <w:pPr>
              <w:tabs>
                <w:tab w:val="left" w:pos="1548"/>
                <w:tab w:val="left" w:pos="6048"/>
              </w:tabs>
              <w:spacing w:line="273" w:lineRule="auto"/>
              <w:rPr>
                <w:rFonts w:ascii="宋体" w:hAnsi="宋体"/>
              </w:rPr>
            </w:pPr>
            <w:r>
              <w:rPr>
                <w:rFonts w:hint="eastAsia" w:ascii="宋体" w:hAnsi="宋体"/>
              </w:rPr>
              <w:t>（1）施工方案与技术措施，包括工程特点、重点与难点描述的准确性及相应针对性措施</w:t>
            </w:r>
          </w:p>
        </w:tc>
        <w:tc>
          <w:tcPr>
            <w:tcW w:w="898" w:type="dxa"/>
            <w:vAlign w:val="center"/>
          </w:tcPr>
          <w:p w14:paraId="730CBCA3">
            <w:pPr>
              <w:tabs>
                <w:tab w:val="left" w:pos="1548"/>
                <w:tab w:val="left" w:pos="6048"/>
              </w:tabs>
              <w:spacing w:line="273" w:lineRule="auto"/>
              <w:jc w:val="center"/>
              <w:rPr>
                <w:rFonts w:ascii="宋体" w:hAnsi="宋体"/>
              </w:rPr>
            </w:pPr>
            <w:r>
              <w:rPr>
                <w:rFonts w:hint="eastAsia" w:ascii="宋体" w:hAnsi="宋体"/>
              </w:rPr>
              <w:t>0-1</w:t>
            </w:r>
            <w:r>
              <w:rPr>
                <w:rFonts w:ascii="宋体" w:hAnsi="宋体"/>
              </w:rPr>
              <w:t>0</w:t>
            </w:r>
            <w:r>
              <w:rPr>
                <w:rFonts w:hint="eastAsia" w:ascii="宋体" w:hAnsi="宋体"/>
              </w:rPr>
              <w:t>分</w:t>
            </w:r>
          </w:p>
        </w:tc>
      </w:tr>
      <w:tr w14:paraId="78E48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641" w:type="dxa"/>
            <w:vMerge w:val="continue"/>
            <w:vAlign w:val="center"/>
          </w:tcPr>
          <w:p w14:paraId="0983D45E">
            <w:pPr>
              <w:jc w:val="center"/>
              <w:rPr>
                <w:rFonts w:ascii="宋体" w:hAnsi="宋体" w:cs="宋体"/>
                <w:color w:val="000000"/>
                <w:szCs w:val="21"/>
              </w:rPr>
            </w:pPr>
          </w:p>
        </w:tc>
        <w:tc>
          <w:tcPr>
            <w:tcW w:w="1812" w:type="dxa"/>
            <w:vMerge w:val="continue"/>
            <w:vAlign w:val="center"/>
          </w:tcPr>
          <w:p w14:paraId="4BCC400D">
            <w:pPr>
              <w:rPr>
                <w:rFonts w:hint="eastAsia" w:ascii="宋体" w:hAnsi="宋体"/>
              </w:rPr>
            </w:pPr>
          </w:p>
        </w:tc>
        <w:tc>
          <w:tcPr>
            <w:tcW w:w="5782" w:type="dxa"/>
            <w:vAlign w:val="center"/>
          </w:tcPr>
          <w:p w14:paraId="7A6375AA">
            <w:pPr>
              <w:tabs>
                <w:tab w:val="left" w:pos="1548"/>
                <w:tab w:val="left" w:pos="6048"/>
              </w:tabs>
              <w:spacing w:line="273" w:lineRule="auto"/>
              <w:rPr>
                <w:rFonts w:hint="eastAsia" w:ascii="宋体" w:hAnsi="宋体"/>
              </w:rPr>
            </w:pPr>
            <w:r>
              <w:rPr>
                <w:rFonts w:hint="eastAsia" w:ascii="宋体" w:hAnsi="宋体"/>
              </w:rPr>
              <w:t>（2）质量、安全、文明施工及环境保护管理体系与措施、创优计划</w:t>
            </w:r>
          </w:p>
        </w:tc>
        <w:tc>
          <w:tcPr>
            <w:tcW w:w="898" w:type="dxa"/>
            <w:vAlign w:val="center"/>
          </w:tcPr>
          <w:p w14:paraId="1A9D17E8">
            <w:pPr>
              <w:tabs>
                <w:tab w:val="left" w:pos="1548"/>
                <w:tab w:val="left" w:pos="6048"/>
              </w:tabs>
              <w:spacing w:line="273" w:lineRule="auto"/>
              <w:jc w:val="center"/>
              <w:rPr>
                <w:rFonts w:hint="eastAsia" w:ascii="宋体" w:hAnsi="宋体"/>
              </w:rPr>
            </w:pPr>
            <w:r>
              <w:rPr>
                <w:rFonts w:hint="eastAsia" w:ascii="宋体" w:hAnsi="宋体"/>
              </w:rPr>
              <w:t>0-10分</w:t>
            </w:r>
          </w:p>
        </w:tc>
      </w:tr>
      <w:tr w14:paraId="36453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641" w:type="dxa"/>
            <w:vMerge w:val="continue"/>
            <w:vAlign w:val="center"/>
          </w:tcPr>
          <w:p w14:paraId="509A8024">
            <w:pPr>
              <w:jc w:val="center"/>
              <w:rPr>
                <w:rFonts w:ascii="宋体" w:hAnsi="宋体" w:cs="宋体"/>
                <w:color w:val="000000"/>
                <w:szCs w:val="21"/>
              </w:rPr>
            </w:pPr>
          </w:p>
        </w:tc>
        <w:tc>
          <w:tcPr>
            <w:tcW w:w="1812" w:type="dxa"/>
            <w:vMerge w:val="continue"/>
            <w:vAlign w:val="center"/>
          </w:tcPr>
          <w:p w14:paraId="13AE7BEE">
            <w:pPr>
              <w:rPr>
                <w:rFonts w:hint="eastAsia" w:ascii="宋体" w:hAnsi="宋体"/>
              </w:rPr>
            </w:pPr>
          </w:p>
        </w:tc>
        <w:tc>
          <w:tcPr>
            <w:tcW w:w="5782" w:type="dxa"/>
            <w:vAlign w:val="center"/>
          </w:tcPr>
          <w:p w14:paraId="1ABB91A1">
            <w:pPr>
              <w:tabs>
                <w:tab w:val="left" w:pos="1548"/>
                <w:tab w:val="left" w:pos="6048"/>
              </w:tabs>
              <w:spacing w:line="273" w:lineRule="auto"/>
              <w:rPr>
                <w:rFonts w:hint="eastAsia" w:ascii="宋体" w:hAnsi="宋体"/>
              </w:rPr>
            </w:pPr>
            <w:r>
              <w:rPr>
                <w:rFonts w:hint="eastAsia" w:ascii="宋体" w:hAnsi="宋体"/>
              </w:rPr>
              <w:t>（3）施工总进度计划及保证措施</w:t>
            </w:r>
          </w:p>
        </w:tc>
        <w:tc>
          <w:tcPr>
            <w:tcW w:w="898" w:type="dxa"/>
            <w:vAlign w:val="center"/>
          </w:tcPr>
          <w:p w14:paraId="649FDA39">
            <w:pPr>
              <w:tabs>
                <w:tab w:val="left" w:pos="1548"/>
                <w:tab w:val="left" w:pos="6048"/>
              </w:tabs>
              <w:spacing w:line="273" w:lineRule="auto"/>
              <w:jc w:val="center"/>
              <w:rPr>
                <w:rFonts w:hint="eastAsia" w:ascii="宋体" w:hAnsi="宋体"/>
              </w:rPr>
            </w:pPr>
            <w:r>
              <w:rPr>
                <w:rFonts w:hint="eastAsia" w:ascii="宋体" w:hAnsi="宋体"/>
              </w:rPr>
              <w:t>0-</w:t>
            </w:r>
            <w:r>
              <w:rPr>
                <w:rFonts w:ascii="宋体" w:hAnsi="宋体"/>
              </w:rPr>
              <w:t>10</w:t>
            </w:r>
            <w:r>
              <w:rPr>
                <w:rFonts w:hint="eastAsia" w:ascii="宋体" w:hAnsi="宋体"/>
              </w:rPr>
              <w:t>分</w:t>
            </w:r>
          </w:p>
        </w:tc>
      </w:tr>
      <w:tr w14:paraId="57D6B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641" w:type="dxa"/>
            <w:vMerge w:val="continue"/>
            <w:vAlign w:val="center"/>
          </w:tcPr>
          <w:p w14:paraId="0CBE0D6E">
            <w:pPr>
              <w:jc w:val="center"/>
              <w:rPr>
                <w:rFonts w:ascii="宋体" w:hAnsi="宋体" w:cs="宋体"/>
                <w:color w:val="000000"/>
                <w:szCs w:val="21"/>
              </w:rPr>
            </w:pPr>
          </w:p>
        </w:tc>
        <w:tc>
          <w:tcPr>
            <w:tcW w:w="1812" w:type="dxa"/>
            <w:vMerge w:val="continue"/>
            <w:vAlign w:val="center"/>
          </w:tcPr>
          <w:p w14:paraId="1028D84C">
            <w:pPr>
              <w:rPr>
                <w:rFonts w:hint="eastAsia" w:ascii="宋体" w:hAnsi="宋体"/>
              </w:rPr>
            </w:pPr>
          </w:p>
        </w:tc>
        <w:tc>
          <w:tcPr>
            <w:tcW w:w="5782" w:type="dxa"/>
            <w:vAlign w:val="center"/>
          </w:tcPr>
          <w:p w14:paraId="510D6984">
            <w:pPr>
              <w:tabs>
                <w:tab w:val="left" w:pos="1548"/>
                <w:tab w:val="left" w:pos="6048"/>
              </w:tabs>
              <w:spacing w:line="273" w:lineRule="auto"/>
              <w:rPr>
                <w:rFonts w:hint="eastAsia" w:ascii="宋体" w:hAnsi="宋体"/>
              </w:rPr>
            </w:pPr>
            <w:r>
              <w:rPr>
                <w:rFonts w:hint="eastAsia" w:ascii="宋体" w:hAnsi="宋体"/>
              </w:rPr>
              <w:t>（4）资源配备计划（劳动力、主要设备、主要原材料）</w:t>
            </w:r>
          </w:p>
        </w:tc>
        <w:tc>
          <w:tcPr>
            <w:tcW w:w="898" w:type="dxa"/>
            <w:vAlign w:val="center"/>
          </w:tcPr>
          <w:p w14:paraId="7E1BDF8D">
            <w:pPr>
              <w:tabs>
                <w:tab w:val="left" w:pos="1548"/>
                <w:tab w:val="left" w:pos="6048"/>
              </w:tabs>
              <w:spacing w:line="273" w:lineRule="auto"/>
              <w:jc w:val="center"/>
              <w:rPr>
                <w:rFonts w:hint="eastAsia" w:ascii="宋体" w:hAnsi="宋体"/>
              </w:rPr>
            </w:pPr>
            <w:r>
              <w:rPr>
                <w:rFonts w:hint="eastAsia" w:ascii="宋体" w:hAnsi="宋体"/>
              </w:rPr>
              <w:t>0-</w:t>
            </w:r>
            <w:r>
              <w:rPr>
                <w:rFonts w:ascii="宋体" w:hAnsi="宋体"/>
              </w:rPr>
              <w:t>10</w:t>
            </w:r>
            <w:r>
              <w:rPr>
                <w:rFonts w:hint="eastAsia" w:ascii="宋体" w:hAnsi="宋体"/>
              </w:rPr>
              <w:t>分</w:t>
            </w:r>
          </w:p>
        </w:tc>
      </w:tr>
      <w:tr w14:paraId="71160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641" w:type="dxa"/>
            <w:vMerge w:val="continue"/>
            <w:vAlign w:val="center"/>
          </w:tcPr>
          <w:p w14:paraId="1189EE7E">
            <w:pPr>
              <w:jc w:val="center"/>
              <w:rPr>
                <w:rFonts w:ascii="宋体" w:hAnsi="宋体" w:cs="宋体"/>
                <w:color w:val="000000"/>
                <w:szCs w:val="21"/>
              </w:rPr>
            </w:pPr>
          </w:p>
        </w:tc>
        <w:tc>
          <w:tcPr>
            <w:tcW w:w="1812" w:type="dxa"/>
            <w:vMerge w:val="continue"/>
            <w:vAlign w:val="center"/>
          </w:tcPr>
          <w:p w14:paraId="5AEE4AEA">
            <w:pPr>
              <w:rPr>
                <w:rFonts w:hint="eastAsia" w:ascii="宋体" w:hAnsi="宋体"/>
              </w:rPr>
            </w:pPr>
          </w:p>
        </w:tc>
        <w:tc>
          <w:tcPr>
            <w:tcW w:w="5782" w:type="dxa"/>
            <w:vAlign w:val="center"/>
          </w:tcPr>
          <w:p w14:paraId="7625C164">
            <w:pPr>
              <w:tabs>
                <w:tab w:val="left" w:pos="1548"/>
                <w:tab w:val="left" w:pos="6048"/>
              </w:tabs>
              <w:spacing w:line="273" w:lineRule="auto"/>
              <w:rPr>
                <w:rFonts w:hint="eastAsia" w:ascii="宋体" w:hAnsi="宋体"/>
              </w:rPr>
            </w:pPr>
            <w:r>
              <w:rPr>
                <w:rFonts w:hint="eastAsia" w:ascii="宋体" w:hAnsi="宋体"/>
              </w:rPr>
              <w:t>（5）特殊气候条件下的施工方案；紧急情况的处理措施、预案以及抵抗风险的措施；成品保护和工程保修工作的管理措施和承诺</w:t>
            </w:r>
          </w:p>
        </w:tc>
        <w:tc>
          <w:tcPr>
            <w:tcW w:w="898" w:type="dxa"/>
            <w:vAlign w:val="center"/>
          </w:tcPr>
          <w:p w14:paraId="3E980C3E">
            <w:pPr>
              <w:tabs>
                <w:tab w:val="left" w:pos="1548"/>
                <w:tab w:val="left" w:pos="6048"/>
              </w:tabs>
              <w:spacing w:line="273" w:lineRule="auto"/>
              <w:jc w:val="center"/>
              <w:rPr>
                <w:rFonts w:hint="eastAsia" w:ascii="宋体" w:hAnsi="宋体"/>
              </w:rPr>
            </w:pPr>
            <w:r>
              <w:rPr>
                <w:rFonts w:hint="eastAsia" w:ascii="宋体" w:hAnsi="宋体"/>
              </w:rPr>
              <w:t>0-10分</w:t>
            </w:r>
          </w:p>
        </w:tc>
      </w:tr>
      <w:tr w14:paraId="1B47E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0F7DD6F8">
            <w:pPr>
              <w:jc w:val="center"/>
              <w:rPr>
                <w:rFonts w:ascii="宋体" w:cs="宋体"/>
                <w:color w:val="000000"/>
                <w:szCs w:val="21"/>
              </w:rPr>
            </w:pPr>
            <w:r>
              <w:rPr>
                <w:rFonts w:ascii="宋体" w:hAnsi="宋体" w:cs="宋体"/>
                <w:color w:val="000000"/>
                <w:szCs w:val="21"/>
              </w:rPr>
              <w:t>3</w:t>
            </w:r>
          </w:p>
        </w:tc>
        <w:tc>
          <w:tcPr>
            <w:tcW w:w="1812" w:type="dxa"/>
            <w:vAlign w:val="center"/>
          </w:tcPr>
          <w:p w14:paraId="3E466BDF">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799CFBBD">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7</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分，较好的得4-</w:t>
            </w:r>
            <w:r>
              <w:rPr>
                <w:rFonts w:ascii="宋体" w:hAnsi="宋体" w:cs="宋体"/>
                <w:bCs/>
                <w:color w:val="000000"/>
                <w:szCs w:val="21"/>
              </w:rPr>
              <w:t>6</w:t>
            </w:r>
            <w:r>
              <w:rPr>
                <w:rFonts w:hint="eastAsia" w:ascii="宋体" w:hAnsi="宋体" w:cs="宋体"/>
                <w:bCs/>
                <w:color w:val="000000"/>
                <w:szCs w:val="21"/>
              </w:rPr>
              <w:t>分，一般得0-3分。</w:t>
            </w:r>
          </w:p>
        </w:tc>
        <w:tc>
          <w:tcPr>
            <w:tcW w:w="898" w:type="dxa"/>
            <w:vAlign w:val="center"/>
          </w:tcPr>
          <w:p w14:paraId="1B5C3D29">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77ECF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21288BAA">
            <w:pPr>
              <w:jc w:val="center"/>
              <w:rPr>
                <w:rFonts w:ascii="宋体" w:cs="宋体"/>
                <w:color w:val="000000"/>
                <w:szCs w:val="21"/>
              </w:rPr>
            </w:pPr>
            <w:r>
              <w:rPr>
                <w:rFonts w:ascii="宋体" w:hAnsi="宋体" w:cs="宋体"/>
                <w:color w:val="000000"/>
                <w:szCs w:val="21"/>
              </w:rPr>
              <w:t>4</w:t>
            </w:r>
          </w:p>
        </w:tc>
        <w:tc>
          <w:tcPr>
            <w:tcW w:w="1812" w:type="dxa"/>
            <w:vAlign w:val="center"/>
          </w:tcPr>
          <w:p w14:paraId="61270433">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6B2E2541">
            <w:pPr>
              <w:tabs>
                <w:tab w:val="left" w:pos="480"/>
              </w:tabs>
              <w:rPr>
                <w:rFonts w:ascii="宋体" w:hAnsi="宋体" w:cs="宋体"/>
                <w:bCs/>
                <w:color w:val="000000"/>
                <w:szCs w:val="21"/>
              </w:rPr>
            </w:pPr>
            <w:r>
              <w:rPr>
                <w:rFonts w:hint="eastAsia" w:ascii="宋体" w:hAnsi="宋体" w:cs="宋体"/>
                <w:bCs/>
                <w:color w:val="000000"/>
                <w:szCs w:val="21"/>
              </w:rPr>
              <w:t>项目负责人资历资格，相关领域技术水平，类似项目经验情况；项目组人员数量、专业和从业经验，拟投入人员具有类似项目经验且具相关领域工作经验、相关证书配备齐全，进行综合打分。综合优秀的得1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72C0D530">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20分</w:t>
            </w:r>
          </w:p>
        </w:tc>
      </w:tr>
      <w:tr w14:paraId="1C7C8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6CC35781">
            <w:pPr>
              <w:jc w:val="center"/>
              <w:rPr>
                <w:rFonts w:ascii="宋体" w:cs="宋体"/>
                <w:color w:val="000000"/>
                <w:szCs w:val="21"/>
              </w:rPr>
            </w:pPr>
            <w:r>
              <w:rPr>
                <w:rFonts w:ascii="宋体" w:hAnsi="宋体" w:cs="宋体"/>
                <w:color w:val="000000"/>
                <w:szCs w:val="21"/>
              </w:rPr>
              <w:t>5</w:t>
            </w:r>
          </w:p>
        </w:tc>
        <w:tc>
          <w:tcPr>
            <w:tcW w:w="1812" w:type="dxa"/>
            <w:vAlign w:val="center"/>
          </w:tcPr>
          <w:p w14:paraId="2D2AFB00">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7ED5BD4E">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bookmarkStart w:id="2" w:name="_GoBack"/>
            <w:bookmarkEnd w:id="2"/>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1EB12AA8">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47F48C45">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bl>
    <w:p w14:paraId="41E051FA">
      <w:pPr>
        <w:snapToGrid w:val="0"/>
        <w:spacing w:before="156" w:beforeLines="50" w:line="360" w:lineRule="auto"/>
        <w:rPr>
          <w:rFonts w:ascii="宋体"/>
          <w:b/>
          <w:color w:val="000000"/>
          <w:sz w:val="24"/>
          <w:szCs w:val="24"/>
          <w:u w:val="single"/>
        </w:rPr>
      </w:pPr>
      <w:r>
        <w:rPr>
          <w:rFonts w:hint="eastAsia" w:ascii="宋体" w:hAnsi="宋体"/>
          <w:b/>
          <w:color w:val="000000"/>
          <w:sz w:val="24"/>
          <w:szCs w:val="24"/>
          <w:u w:val="single"/>
        </w:rPr>
        <w:t>注：以上各项评分内容，如报价人未提供相对应内容，磋商小组不受最低评分标准限制，可予以零分计算。</w:t>
      </w:r>
    </w:p>
    <w:p w14:paraId="584DAC60">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3、</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4B5FDB7D">
      <w:pPr>
        <w:spacing w:line="440" w:lineRule="exact"/>
        <w:ind w:left="96" w:firstLine="480" w:firstLineChars="200"/>
        <w:rPr>
          <w:rFonts w:ascii="宋体"/>
          <w:color w:val="000000"/>
          <w:sz w:val="24"/>
          <w:szCs w:val="24"/>
        </w:rPr>
      </w:pPr>
      <w:r>
        <w:rPr>
          <w:rFonts w:hint="eastAsia" w:ascii="宋体" w:hAnsi="宋体"/>
          <w:color w:val="000000"/>
          <w:sz w:val="24"/>
          <w:szCs w:val="24"/>
        </w:rPr>
        <w:t>由磋商小组成员对每一份响应文件进行独立评分，然后取算术平均值（保留小数点两位）。计算每个报价人的实际得分（商务得分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3AC56835">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出现下列情形之一的，采购人应当终止竞争性磋商采购活动，发布项目终止公告并说明原因，重新开展采购活动：</w:t>
      </w:r>
    </w:p>
    <w:p w14:paraId="3CAE16D9">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）因情况变化，不再符合规定的竞争性磋商采购方式适用情形的；</w:t>
      </w:r>
    </w:p>
    <w:p w14:paraId="44B8611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）出现影响采购公正的违法、违规行为的；</w:t>
      </w:r>
    </w:p>
    <w:p w14:paraId="603619D2">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3</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2D568C91">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磋商小组将根据磋商采购项目的具体情况评定成交报价人。</w:t>
      </w:r>
    </w:p>
    <w:p w14:paraId="1F6B4F68">
      <w:pPr>
        <w:pStyle w:val="2"/>
        <w:spacing w:line="440" w:lineRule="exact"/>
        <w:rPr>
          <w:b/>
          <w:szCs w:val="24"/>
        </w:rPr>
      </w:pPr>
    </w:p>
    <w:p w14:paraId="0AF1C1B8">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B0"/>
    <w:rsid w:val="000F6E8E"/>
    <w:rsid w:val="00182F2D"/>
    <w:rsid w:val="001D28C8"/>
    <w:rsid w:val="002517E6"/>
    <w:rsid w:val="002A71DC"/>
    <w:rsid w:val="0032049A"/>
    <w:rsid w:val="004444E7"/>
    <w:rsid w:val="005D051C"/>
    <w:rsid w:val="006C0972"/>
    <w:rsid w:val="007313DF"/>
    <w:rsid w:val="007801CF"/>
    <w:rsid w:val="007B0688"/>
    <w:rsid w:val="00833059"/>
    <w:rsid w:val="00861575"/>
    <w:rsid w:val="00901372"/>
    <w:rsid w:val="00954BF3"/>
    <w:rsid w:val="00960B12"/>
    <w:rsid w:val="009807F1"/>
    <w:rsid w:val="00B75DDA"/>
    <w:rsid w:val="00BB2792"/>
    <w:rsid w:val="00C81C36"/>
    <w:rsid w:val="00E845DE"/>
    <w:rsid w:val="00EA2286"/>
    <w:rsid w:val="00F0643D"/>
    <w:rsid w:val="00F669B0"/>
    <w:rsid w:val="00FE05C4"/>
    <w:rsid w:val="2BCF5CB5"/>
    <w:rsid w:val="7BBE2E3A"/>
    <w:rsid w:val="7BBF3C03"/>
    <w:rsid w:val="7F3EA9B0"/>
    <w:rsid w:val="BFDFA106"/>
    <w:rsid w:val="CF7FF507"/>
    <w:rsid w:val="DCFF3CBC"/>
    <w:rsid w:val="DE8E394F"/>
    <w:rsid w:val="DFBBD2DB"/>
    <w:rsid w:val="F7AC3837"/>
    <w:rsid w:val="FDF52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eastAsia="宋体" w:cs="Times New Roman"/>
      <w:sz w:val="18"/>
      <w:szCs w:val="18"/>
    </w:rPr>
  </w:style>
  <w:style w:type="character" w:customStyle="1" w:styleId="8">
    <w:name w:val="页脚 字符"/>
    <w:basedOn w:val="6"/>
    <w:link w:val="3"/>
    <w:qFormat/>
    <w:uiPriority w:val="99"/>
    <w:rPr>
      <w:rFonts w:ascii="Calibri" w:hAnsi="Calibri" w:eastAsia="宋体" w:cs="Times New Roman"/>
      <w:sz w:val="18"/>
      <w:szCs w:val="18"/>
    </w:rPr>
  </w:style>
  <w:style w:type="character" w:customStyle="1" w:styleId="9">
    <w:name w:val="纯文本 字符"/>
    <w:basedOn w:val="6"/>
    <w:link w:val="2"/>
    <w:qFormat/>
    <w:uiPriority w:val="99"/>
    <w:rPr>
      <w:rFonts w:ascii="宋体" w:hAnsi="宋体" w:eastAsia="宋体" w:cs="Times New Roman"/>
      <w:color w:val="000000"/>
      <w:kern w:val="0"/>
      <w:sz w:val="24"/>
      <w:szCs w:val="20"/>
    </w:rPr>
  </w:style>
  <w:style w:type="paragraph" w:styleId="10">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200</Words>
  <Characters>1140</Characters>
  <Lines>9</Lines>
  <Paragraphs>2</Paragraphs>
  <TotalTime>0</TotalTime>
  <ScaleCrop>false</ScaleCrop>
  <LinksUpToDate>false</LinksUpToDate>
  <CharactersWithSpaces>1338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2021-04-27T14:59:00Z</dcterms:created>
  <dc:creator>张梅</dc:creator>
  <cp:lastModifiedBy>一只小皮蛋啊</cp:lastModifiedBy>
  <dcterms:modified xsi:type="dcterms:W3CDTF">2026-07-22T09:13:50Z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3791BE2D547993BF44E81C6A19BF71B7_42</vt:lpwstr>
  </property>
</Properties>
</file>