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C46DC">
      <w:pPr>
        <w:tabs>
          <w:tab w:val="left" w:pos="360"/>
          <w:tab w:val="left" w:pos="1800"/>
        </w:tabs>
        <w:jc w:val="center"/>
        <w:outlineLvl w:val="1"/>
        <w:rPr>
          <w:rFonts w:ascii="宋体" w:hAnsi="宋体"/>
          <w:b/>
          <w:bCs/>
          <w:color w:val="000000"/>
          <w:sz w:val="24"/>
          <w:szCs w:val="24"/>
        </w:rPr>
      </w:pPr>
      <w:bookmarkStart w:id="0" w:name="_Toc33536006"/>
      <w:bookmarkStart w:id="1" w:name="_Toc8057063"/>
      <w:r>
        <w:rPr>
          <w:rFonts w:hint="eastAsia" w:ascii="宋体" w:hAnsi="宋体"/>
          <w:b/>
          <w:bCs/>
          <w:color w:val="000000"/>
          <w:sz w:val="24"/>
          <w:szCs w:val="24"/>
        </w:rPr>
        <w:t>评分细则</w:t>
      </w:r>
      <w:bookmarkEnd w:id="0"/>
      <w:bookmarkEnd w:id="1"/>
    </w:p>
    <w:p w14:paraId="642B1CC1">
      <w:pPr>
        <w:pStyle w:val="10"/>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本项目的评审采用</w:t>
      </w:r>
      <w:r>
        <w:rPr>
          <w:rFonts w:hint="eastAsia" w:ascii="宋体" w:hAnsi="宋体" w:cs="宋体"/>
          <w:color w:val="000000"/>
          <w:sz w:val="24"/>
          <w:szCs w:val="24"/>
        </w:rPr>
        <w:t>综合评分法</w:t>
      </w:r>
      <w:r>
        <w:rPr>
          <w:rFonts w:hint="eastAsia" w:ascii="宋体" w:hAnsi="宋体"/>
          <w:bCs/>
          <w:color w:val="000000"/>
          <w:sz w:val="24"/>
          <w:szCs w:val="24"/>
        </w:rPr>
        <w:t>，</w:t>
      </w:r>
      <w:r>
        <w:rPr>
          <w:rFonts w:hint="eastAsia" w:ascii="宋体" w:hAnsi="宋体"/>
          <w:color w:val="000000"/>
          <w:sz w:val="24"/>
          <w:szCs w:val="24"/>
        </w:rPr>
        <w:t>总分</w:t>
      </w:r>
      <w:r>
        <w:rPr>
          <w:rFonts w:ascii="宋体" w:hAnsi="宋体"/>
          <w:color w:val="000000"/>
          <w:sz w:val="24"/>
          <w:szCs w:val="24"/>
        </w:rPr>
        <w:t>100</w:t>
      </w:r>
      <w:r>
        <w:rPr>
          <w:rFonts w:hint="eastAsia" w:ascii="宋体" w:hAnsi="宋体"/>
          <w:color w:val="000000"/>
          <w:sz w:val="24"/>
          <w:szCs w:val="24"/>
        </w:rPr>
        <w:t>分，其中技术标权数9</w:t>
      </w:r>
      <w:r>
        <w:rPr>
          <w:rFonts w:ascii="宋体" w:hAnsi="宋体"/>
          <w:color w:val="000000"/>
          <w:sz w:val="24"/>
          <w:szCs w:val="24"/>
        </w:rPr>
        <w:t>0</w:t>
      </w:r>
      <w:r>
        <w:rPr>
          <w:rFonts w:hint="eastAsia" w:ascii="宋体" w:hAnsi="宋体"/>
          <w:color w:val="000000"/>
          <w:sz w:val="24"/>
          <w:szCs w:val="24"/>
        </w:rPr>
        <w:t>％，商务标权数为1</w:t>
      </w:r>
      <w:r>
        <w:rPr>
          <w:rFonts w:ascii="宋体" w:hAnsi="宋体"/>
          <w:color w:val="000000"/>
          <w:sz w:val="24"/>
          <w:szCs w:val="24"/>
        </w:rPr>
        <w:t>0</w:t>
      </w:r>
      <w:r>
        <w:rPr>
          <w:rFonts w:hint="eastAsia" w:ascii="宋体" w:hAnsi="宋体"/>
          <w:color w:val="000000"/>
          <w:sz w:val="24"/>
          <w:szCs w:val="24"/>
        </w:rPr>
        <w:t>％。</w:t>
      </w:r>
    </w:p>
    <w:p w14:paraId="7095CB65">
      <w:pPr>
        <w:pStyle w:val="10"/>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磋商文件规定签订合同等原因取消中选资格，则按排名顺序依次确定排名第二的中选候选人为中选人。具体评分细则如下：</w:t>
      </w:r>
    </w:p>
    <w:tbl>
      <w:tblPr>
        <w:tblStyle w:val="5"/>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1410"/>
        <w:gridCol w:w="5856"/>
        <w:gridCol w:w="898"/>
      </w:tblGrid>
      <w:tr w14:paraId="43E1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969" w:type="dxa"/>
            <w:vAlign w:val="center"/>
          </w:tcPr>
          <w:p w14:paraId="73A6B700">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序号</w:t>
            </w:r>
          </w:p>
        </w:tc>
        <w:tc>
          <w:tcPr>
            <w:tcW w:w="1410" w:type="dxa"/>
            <w:vAlign w:val="center"/>
          </w:tcPr>
          <w:p w14:paraId="7F6C094A">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评审因素</w:t>
            </w:r>
          </w:p>
        </w:tc>
        <w:tc>
          <w:tcPr>
            <w:tcW w:w="5856" w:type="dxa"/>
            <w:vAlign w:val="center"/>
          </w:tcPr>
          <w:p w14:paraId="758D5789">
            <w:pPr>
              <w:widowControl/>
              <w:snapToGrid w:val="0"/>
              <w:jc w:val="left"/>
              <w:rPr>
                <w:rFonts w:ascii="宋体" w:hAnsi="宋体" w:cs="宋体"/>
                <w:bCs/>
                <w:color w:val="000000"/>
                <w:kern w:val="0"/>
                <w:szCs w:val="21"/>
              </w:rPr>
            </w:pPr>
            <w:r>
              <w:rPr>
                <w:rFonts w:hint="eastAsia" w:ascii="宋体" w:hAnsi="宋体" w:cs="宋体"/>
                <w:bCs/>
                <w:color w:val="000000"/>
                <w:kern w:val="0"/>
                <w:szCs w:val="21"/>
              </w:rPr>
              <w:t>评分说明</w:t>
            </w:r>
          </w:p>
        </w:tc>
        <w:tc>
          <w:tcPr>
            <w:tcW w:w="898" w:type="dxa"/>
            <w:vAlign w:val="center"/>
          </w:tcPr>
          <w:p w14:paraId="39C6ED38">
            <w:pPr>
              <w:widowControl/>
              <w:snapToGrid w:val="0"/>
              <w:jc w:val="left"/>
              <w:rPr>
                <w:rFonts w:ascii="宋体" w:hAnsi="宋体" w:cs="宋体"/>
                <w:bCs/>
                <w:color w:val="000000"/>
                <w:kern w:val="0"/>
                <w:szCs w:val="21"/>
              </w:rPr>
            </w:pPr>
            <w:r>
              <w:rPr>
                <w:rFonts w:hint="eastAsia" w:ascii="宋体" w:hAnsi="宋体" w:cs="宋体"/>
                <w:bCs/>
                <w:color w:val="000000"/>
                <w:kern w:val="0"/>
                <w:szCs w:val="21"/>
              </w:rPr>
              <w:t>分值</w:t>
            </w:r>
          </w:p>
        </w:tc>
      </w:tr>
      <w:tr w14:paraId="4C688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969" w:type="dxa"/>
            <w:vAlign w:val="center"/>
          </w:tcPr>
          <w:p w14:paraId="3344E2D5">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1</w:t>
            </w:r>
          </w:p>
        </w:tc>
        <w:tc>
          <w:tcPr>
            <w:tcW w:w="1410" w:type="dxa"/>
            <w:vAlign w:val="center"/>
          </w:tcPr>
          <w:p w14:paraId="3FFE3DD1">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报价得分</w:t>
            </w:r>
          </w:p>
        </w:tc>
        <w:tc>
          <w:tcPr>
            <w:tcW w:w="5856" w:type="dxa"/>
            <w:vAlign w:val="center"/>
          </w:tcPr>
          <w:p w14:paraId="3690B2A8">
            <w:pPr>
              <w:widowControl/>
              <w:snapToGrid w:val="0"/>
              <w:jc w:val="left"/>
              <w:rPr>
                <w:rFonts w:ascii="宋体" w:hAnsi="宋体" w:cs="宋体"/>
                <w:bCs/>
                <w:color w:val="000000"/>
                <w:kern w:val="0"/>
                <w:szCs w:val="21"/>
              </w:rPr>
            </w:pPr>
            <w:r>
              <w:rPr>
                <w:rFonts w:hint="eastAsia" w:ascii="宋体" w:hAnsi="宋体" w:cs="宋体"/>
                <w:bCs/>
                <w:color w:val="000000"/>
                <w:kern w:val="0"/>
                <w:szCs w:val="21"/>
              </w:rPr>
              <w:t>报价得分＝1</w:t>
            </w:r>
            <w:r>
              <w:rPr>
                <w:rFonts w:ascii="宋体" w:hAnsi="宋体" w:cs="宋体"/>
                <w:bCs/>
                <w:color w:val="000000"/>
                <w:kern w:val="0"/>
                <w:szCs w:val="21"/>
              </w:rPr>
              <w:t>0</w:t>
            </w:r>
            <w:r>
              <w:rPr>
                <w:rFonts w:hint="eastAsia" w:ascii="宋体" w:hAnsi="宋体" w:cs="宋体"/>
                <w:bCs/>
                <w:color w:val="000000"/>
                <w:kern w:val="0"/>
                <w:szCs w:val="21"/>
              </w:rPr>
              <w:t>分×（评标基准价/评审价）</w:t>
            </w:r>
          </w:p>
          <w:p w14:paraId="42D50A0F">
            <w:pPr>
              <w:widowControl/>
              <w:snapToGrid w:val="0"/>
              <w:jc w:val="left"/>
              <w:rPr>
                <w:rFonts w:ascii="宋体" w:hAnsi="宋体" w:cs="宋体"/>
                <w:bCs/>
                <w:color w:val="000000"/>
                <w:kern w:val="0"/>
                <w:szCs w:val="21"/>
              </w:rPr>
            </w:pPr>
            <w:r>
              <w:rPr>
                <w:rFonts w:hint="eastAsia" w:ascii="宋体" w:hAnsi="宋体" w:cs="宋体"/>
                <w:bCs/>
                <w:color w:val="000000"/>
                <w:kern w:val="0"/>
                <w:szCs w:val="21"/>
              </w:rPr>
              <w:t>评标基准价：是经初审合格（技术、商务基本符合要求，无重大缺、漏项）满足招标文件要求且投标价格最低的投标报价</w:t>
            </w:r>
          </w:p>
        </w:tc>
        <w:tc>
          <w:tcPr>
            <w:tcW w:w="898" w:type="dxa"/>
            <w:vAlign w:val="center"/>
          </w:tcPr>
          <w:p w14:paraId="5753ED3A">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0-10分</w:t>
            </w:r>
          </w:p>
        </w:tc>
      </w:tr>
      <w:tr w14:paraId="773DE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969" w:type="dxa"/>
            <w:vAlign w:val="center"/>
          </w:tcPr>
          <w:p w14:paraId="3B21B5BB">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2</w:t>
            </w:r>
          </w:p>
        </w:tc>
        <w:tc>
          <w:tcPr>
            <w:tcW w:w="1410" w:type="dxa"/>
            <w:vAlign w:val="center"/>
          </w:tcPr>
          <w:p w14:paraId="6258A92B">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服务方案</w:t>
            </w:r>
          </w:p>
        </w:tc>
        <w:tc>
          <w:tcPr>
            <w:tcW w:w="5856" w:type="dxa"/>
            <w:vAlign w:val="center"/>
          </w:tcPr>
          <w:p w14:paraId="35E10070">
            <w:pPr>
              <w:widowControl/>
              <w:snapToGrid w:val="0"/>
              <w:jc w:val="left"/>
              <w:rPr>
                <w:rFonts w:ascii="宋体" w:hAnsi="宋体" w:cs="宋体"/>
                <w:bCs/>
                <w:color w:val="000000"/>
                <w:kern w:val="0"/>
                <w:szCs w:val="21"/>
              </w:rPr>
            </w:pPr>
            <w:r>
              <w:rPr>
                <w:rFonts w:hint="eastAsia" w:ascii="宋体" w:hAnsi="宋体" w:cs="宋体"/>
                <w:bCs/>
                <w:color w:val="000000"/>
                <w:kern w:val="0"/>
                <w:szCs w:val="21"/>
              </w:rPr>
              <w:t>根据供应商所提供的方案是否有明确的时间计划表，且具有较强的可执行性，较强创新点，贴合主题，很好地传递主题诉求等进行综合打分。综合评价好的得（20-15分），较好的得（14-8分），一般的得（7-0）分。</w:t>
            </w:r>
          </w:p>
        </w:tc>
        <w:tc>
          <w:tcPr>
            <w:tcW w:w="898" w:type="dxa"/>
            <w:vAlign w:val="center"/>
          </w:tcPr>
          <w:p w14:paraId="2FACDC4D">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0-20分</w:t>
            </w:r>
          </w:p>
        </w:tc>
      </w:tr>
      <w:tr w14:paraId="18639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969" w:type="dxa"/>
            <w:vAlign w:val="center"/>
          </w:tcPr>
          <w:p w14:paraId="231769CF">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3</w:t>
            </w:r>
          </w:p>
        </w:tc>
        <w:tc>
          <w:tcPr>
            <w:tcW w:w="1410" w:type="dxa"/>
            <w:vAlign w:val="center"/>
          </w:tcPr>
          <w:p w14:paraId="303D1E51">
            <w:pPr>
              <w:widowControl/>
              <w:snapToGrid w:val="0"/>
              <w:jc w:val="center"/>
              <w:rPr>
                <w:rFonts w:ascii="宋体" w:hAnsi="宋体" w:cs="宋体"/>
                <w:bCs/>
                <w:color w:val="000000"/>
                <w:kern w:val="0"/>
                <w:szCs w:val="21"/>
              </w:rPr>
            </w:pPr>
            <w:r>
              <w:rPr>
                <w:rFonts w:ascii="宋体" w:hAnsi="宋体" w:cs="宋体"/>
                <w:bCs/>
                <w:color w:val="000000"/>
                <w:kern w:val="0"/>
                <w:szCs w:val="21"/>
              </w:rPr>
              <w:t>企业综合实力</w:t>
            </w:r>
          </w:p>
        </w:tc>
        <w:tc>
          <w:tcPr>
            <w:tcW w:w="5856" w:type="dxa"/>
            <w:vAlign w:val="center"/>
          </w:tcPr>
          <w:p w14:paraId="011F87A8">
            <w:pPr>
              <w:widowControl/>
              <w:snapToGrid w:val="0"/>
              <w:jc w:val="left"/>
              <w:rPr>
                <w:rFonts w:ascii="宋体" w:hAnsi="宋体" w:cs="宋体"/>
                <w:bCs/>
                <w:color w:val="000000"/>
                <w:kern w:val="0"/>
                <w:szCs w:val="21"/>
              </w:rPr>
            </w:pPr>
            <w:r>
              <w:rPr>
                <w:rFonts w:hint="eastAsia" w:ascii="宋体" w:hAnsi="宋体" w:cs="宋体"/>
                <w:bCs/>
                <w:color w:val="000000"/>
                <w:kern w:val="0"/>
                <w:szCs w:val="21"/>
              </w:rPr>
              <w:t>根据投标人技术力量、综合服务能力、相关荣誉、公司诚信等进行综合评价。好的得（</w:t>
            </w:r>
            <w:r>
              <w:rPr>
                <w:rFonts w:ascii="宋体" w:hAnsi="宋体" w:cs="宋体"/>
                <w:bCs/>
                <w:color w:val="000000"/>
                <w:kern w:val="0"/>
                <w:szCs w:val="21"/>
              </w:rPr>
              <w:t>10</w:t>
            </w:r>
            <w:r>
              <w:rPr>
                <w:rFonts w:hint="eastAsia" w:ascii="宋体" w:hAnsi="宋体" w:cs="宋体"/>
                <w:bCs/>
                <w:color w:val="000000"/>
                <w:kern w:val="0"/>
                <w:szCs w:val="21"/>
              </w:rPr>
              <w:t>-</w:t>
            </w:r>
            <w:r>
              <w:rPr>
                <w:rFonts w:ascii="宋体" w:hAnsi="宋体" w:cs="宋体"/>
                <w:bCs/>
                <w:color w:val="000000"/>
                <w:kern w:val="0"/>
                <w:szCs w:val="21"/>
              </w:rPr>
              <w:t>8</w:t>
            </w:r>
            <w:r>
              <w:rPr>
                <w:rFonts w:hint="eastAsia" w:ascii="宋体" w:hAnsi="宋体" w:cs="宋体"/>
                <w:bCs/>
                <w:color w:val="000000"/>
                <w:kern w:val="0"/>
                <w:szCs w:val="21"/>
              </w:rPr>
              <w:t>分），较好的得（</w:t>
            </w:r>
            <w:r>
              <w:rPr>
                <w:rFonts w:ascii="宋体" w:hAnsi="宋体" w:cs="宋体"/>
                <w:bCs/>
                <w:color w:val="000000"/>
                <w:kern w:val="0"/>
                <w:szCs w:val="21"/>
              </w:rPr>
              <w:t>7</w:t>
            </w:r>
            <w:r>
              <w:rPr>
                <w:rFonts w:hint="eastAsia" w:ascii="宋体" w:hAnsi="宋体" w:cs="宋体"/>
                <w:bCs/>
                <w:color w:val="000000"/>
                <w:kern w:val="0"/>
                <w:szCs w:val="21"/>
              </w:rPr>
              <w:t>-</w:t>
            </w:r>
            <w:r>
              <w:rPr>
                <w:rFonts w:ascii="宋体" w:hAnsi="宋体" w:cs="宋体"/>
                <w:bCs/>
                <w:color w:val="000000"/>
                <w:kern w:val="0"/>
                <w:szCs w:val="21"/>
              </w:rPr>
              <w:t>5</w:t>
            </w:r>
            <w:r>
              <w:rPr>
                <w:rFonts w:hint="eastAsia" w:ascii="宋体" w:hAnsi="宋体" w:cs="宋体"/>
                <w:bCs/>
                <w:color w:val="000000"/>
                <w:kern w:val="0"/>
                <w:szCs w:val="21"/>
              </w:rPr>
              <w:t>分），一般的得（</w:t>
            </w:r>
            <w:r>
              <w:rPr>
                <w:rFonts w:ascii="宋体" w:hAnsi="宋体" w:cs="宋体"/>
                <w:bCs/>
                <w:color w:val="000000"/>
                <w:kern w:val="0"/>
                <w:szCs w:val="21"/>
              </w:rPr>
              <w:t>4</w:t>
            </w:r>
            <w:r>
              <w:rPr>
                <w:rFonts w:hint="eastAsia" w:ascii="宋体" w:hAnsi="宋体" w:cs="宋体"/>
                <w:bCs/>
                <w:color w:val="000000"/>
                <w:kern w:val="0"/>
                <w:szCs w:val="21"/>
              </w:rPr>
              <w:t>-0分)。</w:t>
            </w:r>
            <w:r>
              <w:rPr>
                <w:rFonts w:ascii="宋体" w:hAnsi="宋体" w:cs="宋体"/>
                <w:bCs/>
                <w:color w:val="000000"/>
                <w:kern w:val="0"/>
                <w:szCs w:val="21"/>
              </w:rPr>
              <w:t xml:space="preserve"> </w:t>
            </w:r>
          </w:p>
        </w:tc>
        <w:tc>
          <w:tcPr>
            <w:tcW w:w="898" w:type="dxa"/>
            <w:vAlign w:val="center"/>
          </w:tcPr>
          <w:p w14:paraId="3EDDA48D">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0-10分</w:t>
            </w:r>
          </w:p>
        </w:tc>
      </w:tr>
      <w:tr w14:paraId="4B89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trPr>
        <w:tc>
          <w:tcPr>
            <w:tcW w:w="969" w:type="dxa"/>
            <w:vAlign w:val="center"/>
          </w:tcPr>
          <w:p w14:paraId="2A8BAF42">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4</w:t>
            </w:r>
          </w:p>
        </w:tc>
        <w:tc>
          <w:tcPr>
            <w:tcW w:w="1410" w:type="dxa"/>
            <w:vAlign w:val="center"/>
          </w:tcPr>
          <w:p w14:paraId="7399C28F">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人员配备</w:t>
            </w:r>
          </w:p>
        </w:tc>
        <w:tc>
          <w:tcPr>
            <w:tcW w:w="5856" w:type="dxa"/>
          </w:tcPr>
          <w:p w14:paraId="1B7C4448">
            <w:pPr>
              <w:widowControl/>
              <w:snapToGrid w:val="0"/>
              <w:jc w:val="left"/>
              <w:rPr>
                <w:rFonts w:ascii="宋体" w:hAnsi="宋体" w:cs="宋体"/>
                <w:bCs/>
                <w:color w:val="000000"/>
                <w:kern w:val="0"/>
                <w:szCs w:val="21"/>
              </w:rPr>
            </w:pPr>
            <w:r>
              <w:rPr>
                <w:rFonts w:hint="eastAsia" w:ascii="宋体" w:hAnsi="宋体" w:cs="宋体"/>
                <w:bCs/>
                <w:color w:val="000000"/>
                <w:kern w:val="0"/>
                <w:szCs w:val="21"/>
              </w:rPr>
              <w:t>根据投标单位拟投入的相关技术人员的配备情况，团队人员经验丰富，拥有专业编导、剪辑、特效、动画、音乐等后期制作专业人员，人数充裕，专人负责、响应迅速，得（</w:t>
            </w:r>
            <w:r>
              <w:rPr>
                <w:rFonts w:hint="eastAsia" w:ascii="宋体" w:hAnsi="宋体" w:cs="宋体"/>
                <w:bCs/>
                <w:color w:val="000000"/>
                <w:kern w:val="0"/>
                <w:szCs w:val="21"/>
                <w:lang w:val="en-US" w:eastAsia="zh-CN"/>
              </w:rPr>
              <w:t>20</w:t>
            </w:r>
            <w:r>
              <w:rPr>
                <w:rFonts w:hint="eastAsia" w:ascii="宋体" w:hAnsi="宋体" w:cs="宋体"/>
                <w:bCs/>
                <w:color w:val="000000"/>
                <w:kern w:val="0"/>
                <w:szCs w:val="21"/>
              </w:rPr>
              <w:t>-</w:t>
            </w:r>
            <w:r>
              <w:rPr>
                <w:rFonts w:hint="eastAsia" w:ascii="宋体" w:hAnsi="宋体" w:cs="宋体"/>
                <w:bCs/>
                <w:color w:val="000000"/>
                <w:kern w:val="0"/>
                <w:szCs w:val="21"/>
                <w:lang w:val="en-US" w:eastAsia="zh-CN"/>
              </w:rPr>
              <w:t>15</w:t>
            </w:r>
            <w:r>
              <w:rPr>
                <w:rFonts w:hint="eastAsia" w:ascii="宋体" w:hAnsi="宋体" w:cs="宋体"/>
                <w:bCs/>
                <w:color w:val="000000"/>
                <w:kern w:val="0"/>
                <w:szCs w:val="21"/>
              </w:rPr>
              <w:t>分）；</w:t>
            </w:r>
          </w:p>
          <w:p w14:paraId="26A6530C">
            <w:pPr>
              <w:widowControl/>
              <w:snapToGrid w:val="0"/>
              <w:jc w:val="left"/>
              <w:rPr>
                <w:rFonts w:ascii="宋体" w:hAnsi="宋体" w:cs="宋体"/>
                <w:bCs/>
                <w:color w:val="000000"/>
                <w:kern w:val="0"/>
                <w:szCs w:val="21"/>
              </w:rPr>
            </w:pPr>
            <w:r>
              <w:rPr>
                <w:rFonts w:hint="eastAsia" w:ascii="宋体" w:hAnsi="宋体" w:cs="宋体"/>
                <w:bCs/>
                <w:color w:val="000000"/>
                <w:kern w:val="0"/>
                <w:szCs w:val="21"/>
              </w:rPr>
              <w:t>服务团队能力较强，团队人员经验丰富，专人负责，响应较快，得（</w:t>
            </w:r>
            <w:r>
              <w:rPr>
                <w:rFonts w:hint="eastAsia" w:ascii="宋体" w:hAnsi="宋体" w:cs="宋体"/>
                <w:bCs/>
                <w:color w:val="000000"/>
                <w:kern w:val="0"/>
                <w:szCs w:val="21"/>
                <w:lang w:val="en-US" w:eastAsia="zh-CN"/>
              </w:rPr>
              <w:t>14</w:t>
            </w:r>
            <w:r>
              <w:rPr>
                <w:rFonts w:hint="eastAsia" w:ascii="宋体" w:hAnsi="宋体" w:cs="宋体"/>
                <w:bCs/>
                <w:color w:val="000000"/>
                <w:kern w:val="0"/>
                <w:szCs w:val="21"/>
              </w:rPr>
              <w:t>-</w:t>
            </w:r>
            <w:r>
              <w:rPr>
                <w:rFonts w:hint="eastAsia" w:ascii="宋体" w:hAnsi="宋体" w:cs="宋体"/>
                <w:bCs/>
                <w:color w:val="000000"/>
                <w:kern w:val="0"/>
                <w:szCs w:val="21"/>
                <w:lang w:val="en-US" w:eastAsia="zh-CN"/>
              </w:rPr>
              <w:t>8</w:t>
            </w:r>
            <w:r>
              <w:rPr>
                <w:rFonts w:hint="eastAsia" w:ascii="宋体" w:hAnsi="宋体" w:cs="宋体"/>
                <w:bCs/>
                <w:color w:val="000000"/>
                <w:kern w:val="0"/>
                <w:szCs w:val="21"/>
              </w:rPr>
              <w:t>分）；</w:t>
            </w:r>
          </w:p>
          <w:p w14:paraId="5B733D02">
            <w:pPr>
              <w:widowControl/>
              <w:snapToGrid w:val="0"/>
              <w:jc w:val="left"/>
              <w:rPr>
                <w:rFonts w:ascii="宋体" w:hAnsi="宋体" w:cs="宋体"/>
                <w:bCs/>
                <w:color w:val="000000"/>
                <w:kern w:val="0"/>
                <w:szCs w:val="21"/>
              </w:rPr>
            </w:pPr>
            <w:r>
              <w:rPr>
                <w:rFonts w:hint="eastAsia" w:ascii="宋体" w:hAnsi="宋体" w:cs="宋体"/>
                <w:bCs/>
                <w:color w:val="000000"/>
                <w:kern w:val="0"/>
                <w:szCs w:val="21"/>
              </w:rPr>
              <w:t>服务团队执行能力一般；服务团队执行能力一般，无专人负责，响应较慢，得（</w:t>
            </w:r>
            <w:r>
              <w:rPr>
                <w:rFonts w:hint="eastAsia" w:ascii="宋体" w:hAnsi="宋体" w:cs="宋体"/>
                <w:bCs/>
                <w:color w:val="000000"/>
                <w:kern w:val="0"/>
                <w:szCs w:val="21"/>
                <w:lang w:val="en-US" w:eastAsia="zh-CN"/>
              </w:rPr>
              <w:t>7</w:t>
            </w:r>
            <w:r>
              <w:rPr>
                <w:rFonts w:hint="eastAsia" w:ascii="宋体" w:hAnsi="宋体" w:cs="宋体"/>
                <w:bCs/>
                <w:color w:val="000000"/>
                <w:kern w:val="0"/>
                <w:szCs w:val="21"/>
              </w:rPr>
              <w:t>-0分）。</w:t>
            </w:r>
          </w:p>
        </w:tc>
        <w:tc>
          <w:tcPr>
            <w:tcW w:w="898" w:type="dxa"/>
            <w:vAlign w:val="center"/>
          </w:tcPr>
          <w:p w14:paraId="735C2557">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w:t>
            </w:r>
            <w:r>
              <w:rPr>
                <w:rFonts w:hint="eastAsia" w:ascii="宋体" w:hAnsi="宋体" w:cs="宋体"/>
                <w:bCs/>
                <w:color w:val="000000"/>
                <w:kern w:val="0"/>
                <w:szCs w:val="21"/>
                <w:lang w:val="en-US" w:eastAsia="zh-CN"/>
              </w:rPr>
              <w:t>2</w:t>
            </w:r>
            <w:bookmarkStart w:id="2" w:name="_GoBack"/>
            <w:bookmarkEnd w:id="2"/>
            <w:r>
              <w:rPr>
                <w:rFonts w:hint="eastAsia" w:ascii="宋体" w:hAnsi="宋体" w:cs="宋体"/>
                <w:bCs/>
                <w:color w:val="000000"/>
                <w:kern w:val="0"/>
                <w:szCs w:val="21"/>
              </w:rPr>
              <w:t>0分</w:t>
            </w:r>
          </w:p>
        </w:tc>
      </w:tr>
      <w:tr w14:paraId="217A9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969" w:type="dxa"/>
            <w:vAlign w:val="center"/>
          </w:tcPr>
          <w:p w14:paraId="3EF5EFBB">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5</w:t>
            </w:r>
          </w:p>
        </w:tc>
        <w:tc>
          <w:tcPr>
            <w:tcW w:w="1410" w:type="dxa"/>
            <w:vAlign w:val="center"/>
          </w:tcPr>
          <w:p w14:paraId="5EDE3F5E">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类似服务经验</w:t>
            </w:r>
          </w:p>
        </w:tc>
        <w:tc>
          <w:tcPr>
            <w:tcW w:w="5856" w:type="dxa"/>
            <w:vAlign w:val="center"/>
          </w:tcPr>
          <w:p w14:paraId="40E7934B">
            <w:pPr>
              <w:rPr>
                <w:rFonts w:ascii="宋体" w:hAnsi="宋体" w:cs="宋体"/>
                <w:bCs/>
                <w:color w:val="000000"/>
              </w:rPr>
            </w:pPr>
            <w:r>
              <w:rPr>
                <w:rFonts w:hint="eastAsia" w:ascii="宋体" w:hAnsi="宋体" w:cs="宋体"/>
                <w:bCs/>
                <w:color w:val="000000"/>
              </w:rPr>
              <w:t>根据供应商提供202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w:t>
            </w:r>
            <w:r>
              <w:rPr>
                <w:rFonts w:ascii="宋体" w:hAnsi="宋体" w:cs="宋体"/>
                <w:bCs/>
                <w:color w:val="000000"/>
              </w:rPr>
              <w:t>2</w:t>
            </w:r>
            <w:r>
              <w:rPr>
                <w:rFonts w:hint="eastAsia" w:ascii="宋体" w:hAnsi="宋体" w:cs="宋体"/>
                <w:bCs/>
                <w:color w:val="000000"/>
              </w:rPr>
              <w:t>分，最高得</w:t>
            </w:r>
            <w:r>
              <w:rPr>
                <w:rFonts w:ascii="宋体" w:hAnsi="宋体" w:cs="宋体"/>
                <w:bCs/>
                <w:color w:val="000000"/>
              </w:rPr>
              <w:t>10</w:t>
            </w:r>
            <w:r>
              <w:rPr>
                <w:rFonts w:hint="eastAsia" w:ascii="宋体" w:hAnsi="宋体" w:cs="宋体"/>
                <w:bCs/>
                <w:color w:val="000000"/>
              </w:rPr>
              <w:t>分，未提供不得分。</w:t>
            </w:r>
          </w:p>
          <w:p w14:paraId="58BA0352">
            <w:pPr>
              <w:widowControl/>
              <w:snapToGrid w:val="0"/>
              <w:jc w:val="left"/>
              <w:rPr>
                <w:rFonts w:ascii="宋体" w:hAnsi="宋体" w:cs="宋体"/>
                <w:bCs/>
                <w:color w:val="000000"/>
                <w:kern w:val="0"/>
                <w:szCs w:val="21"/>
              </w:rPr>
            </w:pPr>
            <w:r>
              <w:rPr>
                <w:rFonts w:hint="eastAsia" w:ascii="宋体" w:hAnsi="宋体" w:cs="宋体"/>
                <w:bCs/>
                <w:color w:val="000000"/>
              </w:rPr>
              <w:t>（提供合同复印件盖章为准）</w:t>
            </w:r>
            <w:r>
              <w:rPr>
                <w:rFonts w:hint="eastAsia" w:ascii="宋体" w:hAnsi="宋体" w:cs="宋体"/>
                <w:bCs/>
                <w:color w:val="000000"/>
                <w:kern w:val="0"/>
                <w:szCs w:val="21"/>
              </w:rPr>
              <w:t>。</w:t>
            </w:r>
          </w:p>
        </w:tc>
        <w:tc>
          <w:tcPr>
            <w:tcW w:w="898" w:type="dxa"/>
            <w:vAlign w:val="center"/>
          </w:tcPr>
          <w:p w14:paraId="6B3CA2FC">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0-10分</w:t>
            </w:r>
          </w:p>
        </w:tc>
      </w:tr>
      <w:tr w14:paraId="62126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969" w:type="dxa"/>
            <w:vAlign w:val="center"/>
          </w:tcPr>
          <w:p w14:paraId="23692595">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6</w:t>
            </w:r>
          </w:p>
        </w:tc>
        <w:tc>
          <w:tcPr>
            <w:tcW w:w="1410" w:type="dxa"/>
            <w:vAlign w:val="center"/>
          </w:tcPr>
          <w:p w14:paraId="02D7C6F3">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参考样片质量</w:t>
            </w:r>
          </w:p>
        </w:tc>
        <w:tc>
          <w:tcPr>
            <w:tcW w:w="5856" w:type="dxa"/>
            <w:vAlign w:val="center"/>
          </w:tcPr>
          <w:p w14:paraId="4037EC98">
            <w:pPr>
              <w:widowControl/>
              <w:snapToGrid w:val="0"/>
              <w:jc w:val="left"/>
              <w:rPr>
                <w:rFonts w:ascii="宋体" w:hAnsi="宋体" w:cs="宋体"/>
                <w:bCs/>
                <w:color w:val="000000"/>
                <w:kern w:val="0"/>
                <w:szCs w:val="21"/>
              </w:rPr>
            </w:pPr>
            <w:r>
              <w:rPr>
                <w:rFonts w:hint="eastAsia" w:ascii="宋体" w:hAnsi="宋体" w:cs="宋体"/>
                <w:bCs/>
                <w:color w:val="000000"/>
                <w:kern w:val="0"/>
                <w:szCs w:val="21"/>
              </w:rPr>
              <w:t>提供的视频样片要具有参考性，类型符合本项目要求。根据提供的样片制作质量，进行综合评分。综合评价好的得（20-15分），较好的得（14-8分），一般的得（7-0）分。</w:t>
            </w:r>
          </w:p>
        </w:tc>
        <w:tc>
          <w:tcPr>
            <w:tcW w:w="898" w:type="dxa"/>
            <w:vAlign w:val="center"/>
          </w:tcPr>
          <w:p w14:paraId="5B5A6D0F">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w:t>
            </w:r>
            <w:r>
              <w:rPr>
                <w:rFonts w:hint="eastAsia" w:ascii="宋体" w:hAnsi="宋体" w:cs="宋体"/>
                <w:bCs/>
                <w:color w:val="000000"/>
                <w:kern w:val="0"/>
                <w:szCs w:val="21"/>
                <w:lang w:val="en-US" w:eastAsia="zh-CN"/>
              </w:rPr>
              <w:t>2</w:t>
            </w:r>
            <w:r>
              <w:rPr>
                <w:rFonts w:hint="eastAsia" w:ascii="宋体" w:hAnsi="宋体" w:cs="宋体"/>
                <w:bCs/>
                <w:color w:val="000000"/>
                <w:kern w:val="0"/>
                <w:szCs w:val="21"/>
              </w:rPr>
              <w:t>0分</w:t>
            </w:r>
          </w:p>
        </w:tc>
      </w:tr>
      <w:tr w14:paraId="0954C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trPr>
        <w:tc>
          <w:tcPr>
            <w:tcW w:w="969" w:type="dxa"/>
            <w:vAlign w:val="center"/>
          </w:tcPr>
          <w:p w14:paraId="39275BE1">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7</w:t>
            </w:r>
          </w:p>
        </w:tc>
        <w:tc>
          <w:tcPr>
            <w:tcW w:w="1410" w:type="dxa"/>
            <w:vAlign w:val="center"/>
          </w:tcPr>
          <w:p w14:paraId="3C2B95B2">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售后服务</w:t>
            </w:r>
          </w:p>
        </w:tc>
        <w:tc>
          <w:tcPr>
            <w:tcW w:w="5856" w:type="dxa"/>
            <w:vAlign w:val="center"/>
          </w:tcPr>
          <w:p w14:paraId="5598905E">
            <w:pPr>
              <w:widowControl/>
              <w:snapToGrid w:val="0"/>
              <w:jc w:val="left"/>
              <w:rPr>
                <w:rFonts w:ascii="宋体" w:hAnsi="宋体" w:cs="宋体"/>
                <w:bCs/>
                <w:color w:val="000000"/>
                <w:kern w:val="0"/>
                <w:szCs w:val="21"/>
              </w:rPr>
            </w:pPr>
            <w:r>
              <w:rPr>
                <w:rFonts w:hint="eastAsia" w:ascii="宋体" w:hAnsi="宋体" w:cs="宋体"/>
                <w:bCs/>
                <w:color w:val="000000"/>
                <w:kern w:val="0"/>
                <w:szCs w:val="21"/>
              </w:rPr>
              <w:t>对本项目售后服务的完善程度，服务响应时间是否及时，包含服务响应、联系方式、响应时间、响应措施、合理化建议、重大问题迅速反应并增加工作人员等进行综合评审。综合评价好的得（10-7分），较好的得（6-4分），一般的得（3-0）分。</w:t>
            </w:r>
          </w:p>
        </w:tc>
        <w:tc>
          <w:tcPr>
            <w:tcW w:w="898" w:type="dxa"/>
            <w:vAlign w:val="center"/>
          </w:tcPr>
          <w:p w14:paraId="46EA9745">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0-10分</w:t>
            </w:r>
          </w:p>
        </w:tc>
      </w:tr>
    </w:tbl>
    <w:p w14:paraId="7F5B0BCF">
      <w:pPr>
        <w:snapToGrid w:val="0"/>
        <w:spacing w:before="156" w:beforeLines="50" w:line="360" w:lineRule="auto"/>
        <w:rPr>
          <w:rFonts w:ascii="宋体"/>
          <w:b/>
          <w:color w:val="000000"/>
          <w:sz w:val="24"/>
          <w:szCs w:val="24"/>
          <w:u w:val="single"/>
        </w:rPr>
      </w:pPr>
      <w:r>
        <w:rPr>
          <w:rFonts w:hint="eastAsia" w:ascii="宋体" w:hAnsi="宋体"/>
          <w:b/>
          <w:color w:val="000000"/>
          <w:sz w:val="24"/>
          <w:szCs w:val="24"/>
          <w:u w:val="single"/>
        </w:rPr>
        <w:t>注：以上各项评分内容，如报价人未提供相对应内容，磋商小组不受最低评分标准限制，可予以零分计算。</w:t>
      </w:r>
    </w:p>
    <w:p w14:paraId="179E816F">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3、</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60487423">
      <w:pPr>
        <w:spacing w:line="440" w:lineRule="exact"/>
        <w:ind w:left="96" w:firstLine="480" w:firstLineChars="200"/>
        <w:rPr>
          <w:rFonts w:ascii="宋体"/>
          <w:color w:val="000000"/>
          <w:sz w:val="24"/>
          <w:szCs w:val="24"/>
        </w:rPr>
      </w:pPr>
      <w:r>
        <w:rPr>
          <w:rFonts w:hint="eastAsia" w:ascii="宋体" w:hAnsi="宋体"/>
          <w:color w:val="000000"/>
          <w:sz w:val="24"/>
          <w:szCs w:val="24"/>
        </w:rPr>
        <w:t>由磋商小组成员对每一份响应文件进行独立评分，然后取算术平均值（保留小数点两位）。计算每个报价人的实际得分（商务得分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07270AF1">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出现下列情形之一的，采购人应当终止竞争性磋商采购活动，发布项目终止公告并说明原因，重新开展采购活动：</w:t>
      </w:r>
    </w:p>
    <w:p w14:paraId="0BC88473">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）因情况变化，不再符合规定的竞争性磋商采购方式适用情形的；</w:t>
      </w:r>
    </w:p>
    <w:p w14:paraId="3FD57561">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）出现影响采购公正的违法、违规行为的；</w:t>
      </w:r>
    </w:p>
    <w:p w14:paraId="1C3776C8">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3C26CB57">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磋商小组将根据磋商采购项目的具体情况评定成交报价人。</w:t>
      </w:r>
    </w:p>
    <w:p w14:paraId="1124624D">
      <w:pPr>
        <w:pStyle w:val="2"/>
        <w:spacing w:line="440" w:lineRule="exact"/>
        <w:rPr>
          <w:b/>
          <w:szCs w:val="24"/>
        </w:rPr>
      </w:pPr>
    </w:p>
    <w:p w14:paraId="346E77A4">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B0"/>
    <w:rsid w:val="000F6E8E"/>
    <w:rsid w:val="00182F2D"/>
    <w:rsid w:val="001B40F2"/>
    <w:rsid w:val="001D28C8"/>
    <w:rsid w:val="002517E6"/>
    <w:rsid w:val="002A71DC"/>
    <w:rsid w:val="004444E7"/>
    <w:rsid w:val="00492C85"/>
    <w:rsid w:val="00521B79"/>
    <w:rsid w:val="005B0BE0"/>
    <w:rsid w:val="005D051C"/>
    <w:rsid w:val="005E4052"/>
    <w:rsid w:val="00635F2A"/>
    <w:rsid w:val="006801F2"/>
    <w:rsid w:val="006C0972"/>
    <w:rsid w:val="007246CA"/>
    <w:rsid w:val="007313DF"/>
    <w:rsid w:val="007801CF"/>
    <w:rsid w:val="007B0688"/>
    <w:rsid w:val="00833059"/>
    <w:rsid w:val="00861575"/>
    <w:rsid w:val="00901372"/>
    <w:rsid w:val="00954BF3"/>
    <w:rsid w:val="00960B12"/>
    <w:rsid w:val="009807F1"/>
    <w:rsid w:val="00A91FED"/>
    <w:rsid w:val="00BA4FED"/>
    <w:rsid w:val="00BB2792"/>
    <w:rsid w:val="00BD3F0F"/>
    <w:rsid w:val="00C05E21"/>
    <w:rsid w:val="00C81C36"/>
    <w:rsid w:val="00E845DE"/>
    <w:rsid w:val="00EA2286"/>
    <w:rsid w:val="00F0643D"/>
    <w:rsid w:val="00F669B0"/>
    <w:rsid w:val="00FB5D35"/>
    <w:rsid w:val="00FC6A4E"/>
    <w:rsid w:val="00FE05C4"/>
    <w:rsid w:val="36BFACFD"/>
    <w:rsid w:val="7BFFD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 w:type="character" w:customStyle="1" w:styleId="9">
    <w:name w:val="纯文本 字符"/>
    <w:basedOn w:val="6"/>
    <w:link w:val="2"/>
    <w:qFormat/>
    <w:uiPriority w:val="99"/>
    <w:rPr>
      <w:rFonts w:ascii="宋体" w:hAnsi="宋体" w:eastAsia="宋体" w:cs="Times New Roman"/>
      <w:color w:val="000000"/>
      <w:kern w:val="0"/>
      <w:sz w:val="24"/>
      <w:szCs w:val="20"/>
    </w:rPr>
  </w:style>
  <w:style w:type="paragraph" w:styleId="10">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202</Words>
  <Characters>1156</Characters>
  <Lines>9</Lines>
  <Paragraphs>2</Paragraphs>
  <TotalTime>1</TotalTime>
  <ScaleCrop>false</ScaleCrop>
  <LinksUpToDate>false</LinksUpToDate>
  <CharactersWithSpaces>1356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2021-04-26T14:59:00Z</dcterms:created>
  <dc:creator>张梅</dc:creator>
  <cp:lastModifiedBy>一只小皮蛋啊</cp:lastModifiedBy>
  <dcterms:modified xsi:type="dcterms:W3CDTF">2026-06-01T10:27:15Z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625DCFF19E90198EB8ED1C6AA196B1B0_42</vt:lpwstr>
  </property>
</Properties>
</file>