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48" w:rsidRPr="00183263" w:rsidRDefault="000E63FE">
      <w:pPr>
        <w:spacing w:line="560" w:lineRule="exact"/>
        <w:ind w:right="300"/>
        <w:jc w:val="center"/>
        <w:rPr>
          <w:rFonts w:asciiTheme="minorEastAsia" w:eastAsiaTheme="minorEastAsia" w:hAnsiTheme="minorEastAsia"/>
          <w:b/>
          <w:spacing w:val="-10"/>
          <w:sz w:val="36"/>
          <w:szCs w:val="24"/>
        </w:rPr>
      </w:pPr>
      <w:r w:rsidRPr="00183263">
        <w:rPr>
          <w:rFonts w:asciiTheme="minorEastAsia" w:eastAsiaTheme="minorEastAsia" w:hAnsiTheme="minorEastAsia" w:hint="eastAsia"/>
          <w:b/>
          <w:spacing w:val="-10"/>
          <w:sz w:val="36"/>
          <w:szCs w:val="24"/>
        </w:rPr>
        <w:t>上海市家庭医生签约服务宣传项目</w:t>
      </w:r>
    </w:p>
    <w:p w:rsidR="001A2848" w:rsidRPr="000E63FE" w:rsidRDefault="003D12D7" w:rsidP="000E63FE">
      <w:pPr>
        <w:spacing w:line="560" w:lineRule="exact"/>
        <w:ind w:right="300"/>
        <w:jc w:val="center"/>
        <w:rPr>
          <w:rFonts w:asciiTheme="minorEastAsia" w:eastAsiaTheme="minorEastAsia" w:hAnsiTheme="minorEastAsia"/>
          <w:b/>
          <w:spacing w:val="-10"/>
          <w:sz w:val="36"/>
          <w:szCs w:val="24"/>
        </w:rPr>
      </w:pPr>
      <w:r w:rsidRPr="00183263">
        <w:rPr>
          <w:rFonts w:asciiTheme="minorEastAsia" w:eastAsiaTheme="minorEastAsia" w:hAnsiTheme="minorEastAsia" w:hint="eastAsia"/>
          <w:b/>
          <w:spacing w:val="-10"/>
          <w:sz w:val="36"/>
          <w:szCs w:val="24"/>
        </w:rPr>
        <w:t>采购需求</w:t>
      </w:r>
    </w:p>
    <w:p w:rsidR="001A2848" w:rsidRPr="00183263" w:rsidRDefault="000E63FE" w:rsidP="00183263">
      <w:pPr>
        <w:widowControl/>
        <w:shd w:val="clear" w:color="auto" w:fill="FFFFFF"/>
        <w:spacing w:line="560" w:lineRule="exact"/>
        <w:ind w:firstLineChars="200" w:firstLine="482"/>
        <w:jc w:val="left"/>
        <w:rPr>
          <w:rFonts w:asciiTheme="minorEastAsia" w:eastAsiaTheme="minorEastAsia" w:hAnsiTheme="minorEastAsia" w:cs="仿宋_GB2312"/>
          <w:b/>
          <w:bCs/>
          <w:color w:val="000000"/>
          <w:sz w:val="24"/>
          <w:szCs w:val="24"/>
        </w:rPr>
      </w:pPr>
      <w:r w:rsidRPr="00183263">
        <w:rPr>
          <w:rFonts w:asciiTheme="minorEastAsia" w:eastAsiaTheme="minorEastAsia" w:hAnsiTheme="minorEastAsia" w:cs="仿宋_GB2312" w:hint="eastAsia"/>
          <w:b/>
          <w:bCs/>
          <w:color w:val="000000"/>
          <w:sz w:val="24"/>
          <w:szCs w:val="24"/>
        </w:rPr>
        <w:t>一、项目背景</w:t>
      </w:r>
    </w:p>
    <w:p w:rsidR="001A2848" w:rsidRPr="00183263" w:rsidRDefault="000E63FE" w:rsidP="00FC5E6B">
      <w:pPr>
        <w:widowControl/>
        <w:shd w:val="clear" w:color="auto" w:fill="FFFFFF"/>
        <w:spacing w:line="560" w:lineRule="exact"/>
        <w:ind w:firstLineChars="196" w:firstLine="470"/>
        <w:rPr>
          <w:rStyle w:val="a00"/>
          <w:rFonts w:asciiTheme="minorEastAsia" w:eastAsiaTheme="minorEastAsia" w:hAnsiTheme="minorEastAsia" w:cs="宋体"/>
          <w:color w:val="000000"/>
          <w:kern w:val="0"/>
          <w:sz w:val="24"/>
          <w:szCs w:val="24"/>
        </w:rPr>
      </w:pPr>
      <w:r w:rsidRPr="00183263">
        <w:rPr>
          <w:rFonts w:asciiTheme="minorEastAsia" w:eastAsiaTheme="minorEastAsia" w:hAnsiTheme="minorEastAsia" w:hint="eastAsia"/>
          <w:sz w:val="24"/>
          <w:szCs w:val="24"/>
        </w:rPr>
        <w:t>《健康上海</w:t>
      </w:r>
      <w:r w:rsidRPr="00183263">
        <w:rPr>
          <w:rFonts w:asciiTheme="minorEastAsia" w:eastAsiaTheme="minorEastAsia" w:hAnsiTheme="minorEastAsia"/>
          <w:sz w:val="24"/>
          <w:szCs w:val="24"/>
        </w:rPr>
        <w:t>行动（</w:t>
      </w:r>
      <w:r w:rsidRPr="00183263">
        <w:rPr>
          <w:rFonts w:asciiTheme="minorEastAsia" w:eastAsiaTheme="minorEastAsia" w:hAnsiTheme="minorEastAsia" w:hint="eastAsia"/>
          <w:sz w:val="24"/>
          <w:szCs w:val="24"/>
        </w:rPr>
        <w:t>2019</w:t>
      </w:r>
      <w:r w:rsidRPr="00183263">
        <w:rPr>
          <w:rFonts w:asciiTheme="minorEastAsia" w:eastAsiaTheme="minorEastAsia" w:hAnsiTheme="minorEastAsia"/>
          <w:sz w:val="24"/>
          <w:szCs w:val="24"/>
        </w:rPr>
        <w:t>-2030）</w:t>
      </w:r>
      <w:r w:rsidRPr="00183263">
        <w:rPr>
          <w:rFonts w:asciiTheme="minorEastAsia" w:eastAsiaTheme="minorEastAsia" w:hAnsiTheme="minorEastAsia" w:hint="eastAsia"/>
          <w:sz w:val="24"/>
          <w:szCs w:val="24"/>
        </w:rPr>
        <w:t>》明确提出“至2030年，实现每个市民都拥有自己的家庭医生”。</w:t>
      </w:r>
      <w:r w:rsidRPr="00183263">
        <w:rPr>
          <w:rStyle w:val="a00"/>
          <w:rFonts w:asciiTheme="minorEastAsia" w:eastAsiaTheme="minorEastAsia" w:hAnsiTheme="minorEastAsia" w:cs="宋体" w:hint="eastAsia"/>
          <w:color w:val="000000"/>
          <w:kern w:val="0"/>
          <w:sz w:val="24"/>
          <w:szCs w:val="24"/>
        </w:rPr>
        <w:t>为传播家庭医生签约服务内涵，讲好家庭医生故事，展现家庭医生风采，社管部每年均与相关宣传媒体合作开展家庭医生签约服务及相关优秀案例宣传，在全市范围内提升家庭医生签约服务的知晓率、签约率和利用率。</w:t>
      </w:r>
    </w:p>
    <w:p w:rsidR="001A2848" w:rsidRPr="00183263" w:rsidRDefault="000E63FE" w:rsidP="00FC5E6B">
      <w:pPr>
        <w:widowControl/>
        <w:shd w:val="clear" w:color="auto" w:fill="FFFFFF"/>
        <w:spacing w:line="560" w:lineRule="exact"/>
        <w:ind w:firstLineChars="196" w:firstLine="470"/>
        <w:rPr>
          <w:rStyle w:val="a00"/>
          <w:rFonts w:asciiTheme="minorEastAsia" w:eastAsiaTheme="minorEastAsia" w:hAnsiTheme="minorEastAsia" w:cs="宋体"/>
          <w:color w:val="000000"/>
          <w:kern w:val="0"/>
          <w:sz w:val="24"/>
          <w:szCs w:val="24"/>
        </w:rPr>
      </w:pPr>
      <w:r w:rsidRPr="00183263">
        <w:rPr>
          <w:rStyle w:val="a00"/>
          <w:rFonts w:asciiTheme="minorEastAsia" w:eastAsiaTheme="minorEastAsia" w:hAnsiTheme="minorEastAsia" w:cs="宋体" w:hint="eastAsia"/>
          <w:color w:val="000000"/>
          <w:kern w:val="0"/>
          <w:sz w:val="24"/>
          <w:szCs w:val="24"/>
        </w:rPr>
        <w:t>为了继续</w:t>
      </w:r>
      <w:r w:rsidR="00073D4F">
        <w:rPr>
          <w:rStyle w:val="a00"/>
          <w:rFonts w:asciiTheme="minorEastAsia" w:eastAsiaTheme="minorEastAsia" w:hAnsiTheme="minorEastAsia" w:cs="宋体" w:hint="eastAsia"/>
          <w:color w:val="000000"/>
          <w:kern w:val="0"/>
          <w:sz w:val="24"/>
          <w:szCs w:val="24"/>
        </w:rPr>
        <w:t>提高本市家庭医生签约服务覆盖面，拓展对职业人群的宣传渠道，</w:t>
      </w:r>
      <w:r w:rsidR="00EA7FE4" w:rsidRPr="00EA7FE4">
        <w:rPr>
          <w:rStyle w:val="a00"/>
          <w:rFonts w:asciiTheme="minorEastAsia" w:eastAsiaTheme="minorEastAsia" w:hAnsiTheme="minorEastAsia" w:cs="宋体" w:hint="eastAsia"/>
          <w:color w:val="000000"/>
          <w:kern w:val="0"/>
          <w:sz w:val="24"/>
          <w:szCs w:val="24"/>
        </w:rPr>
        <w:t>社管部2025年继续开展家庭医生签约服务宣传，将家庭医生宣传系列视频在移动电视地铁、公交平台以及IPTV进行相应覆盖频次的投放播出。</w:t>
      </w:r>
    </w:p>
    <w:p w:rsidR="001A2848" w:rsidRPr="00183263" w:rsidRDefault="000E63FE" w:rsidP="00183263">
      <w:pPr>
        <w:widowControl/>
        <w:shd w:val="clear" w:color="auto" w:fill="FFFFFF"/>
        <w:spacing w:line="560" w:lineRule="exact"/>
        <w:ind w:firstLineChars="200" w:firstLine="482"/>
        <w:rPr>
          <w:rFonts w:asciiTheme="minorEastAsia" w:eastAsiaTheme="minorEastAsia" w:hAnsiTheme="minorEastAsia" w:cs="仿宋_GB2312"/>
          <w:b/>
          <w:bCs/>
          <w:color w:val="000000"/>
          <w:sz w:val="24"/>
          <w:szCs w:val="24"/>
        </w:rPr>
      </w:pPr>
      <w:r w:rsidRPr="00183263">
        <w:rPr>
          <w:rFonts w:asciiTheme="minorEastAsia" w:eastAsiaTheme="minorEastAsia" w:hAnsiTheme="minorEastAsia" w:cs="仿宋_GB2312" w:hint="eastAsia"/>
          <w:b/>
          <w:bCs/>
          <w:color w:val="000000"/>
          <w:sz w:val="24"/>
          <w:szCs w:val="24"/>
        </w:rPr>
        <w:t>二、项目方案</w:t>
      </w:r>
    </w:p>
    <w:p w:rsidR="00EA7FE4" w:rsidRPr="00EA7FE4" w:rsidRDefault="00EA7FE4" w:rsidP="00FC5E6B">
      <w:pPr>
        <w:spacing w:line="560" w:lineRule="exact"/>
        <w:ind w:firstLineChars="200" w:firstLine="480"/>
        <w:rPr>
          <w:rStyle w:val="a00"/>
          <w:rFonts w:asciiTheme="minorEastAsia" w:eastAsiaTheme="minorEastAsia" w:hAnsiTheme="minorEastAsia" w:cs="宋体"/>
          <w:color w:val="000000"/>
          <w:kern w:val="0"/>
          <w:sz w:val="24"/>
          <w:szCs w:val="24"/>
        </w:rPr>
      </w:pPr>
      <w:r w:rsidRPr="00EA7FE4">
        <w:rPr>
          <w:rStyle w:val="a00"/>
          <w:rFonts w:asciiTheme="minorEastAsia" w:eastAsiaTheme="minorEastAsia" w:hAnsiTheme="minorEastAsia" w:cs="宋体" w:hint="eastAsia"/>
          <w:color w:val="000000"/>
          <w:kern w:val="0"/>
          <w:sz w:val="24"/>
          <w:szCs w:val="24"/>
        </w:rPr>
        <w:t>在以下三个平台播放家庭医生宣传视频：</w:t>
      </w:r>
    </w:p>
    <w:p w:rsidR="00EA7FE4" w:rsidRDefault="004221D1" w:rsidP="00FC5E6B">
      <w:pPr>
        <w:spacing w:line="500" w:lineRule="exact"/>
        <w:ind w:left="480" w:hangingChars="200" w:hanging="480"/>
        <w:rPr>
          <w:rStyle w:val="a00"/>
          <w:rFonts w:asciiTheme="minorEastAsia" w:eastAsiaTheme="minorEastAsia" w:hAnsiTheme="minorEastAsia" w:cs="宋体"/>
          <w:color w:val="000000"/>
          <w:kern w:val="0"/>
          <w:sz w:val="24"/>
          <w:szCs w:val="24"/>
        </w:rPr>
      </w:pPr>
      <w:r>
        <w:rPr>
          <w:rStyle w:val="a00"/>
          <w:rFonts w:asciiTheme="minorEastAsia" w:eastAsiaTheme="minorEastAsia" w:hAnsiTheme="minorEastAsia" w:cs="宋体" w:hint="eastAsia"/>
          <w:color w:val="000000"/>
          <w:kern w:val="0"/>
          <w:sz w:val="24"/>
          <w:szCs w:val="24"/>
        </w:rPr>
        <w:t>（一）</w:t>
      </w:r>
      <w:r w:rsidR="00EA7FE4" w:rsidRPr="00EA7FE4">
        <w:rPr>
          <w:rStyle w:val="a00"/>
          <w:rFonts w:asciiTheme="minorEastAsia" w:eastAsiaTheme="minorEastAsia" w:hAnsiTheme="minorEastAsia" w:cs="宋体" w:hint="eastAsia"/>
          <w:color w:val="000000"/>
          <w:kern w:val="0"/>
          <w:sz w:val="24"/>
          <w:szCs w:val="24"/>
        </w:rPr>
        <w:t>移动电视地铁平台：覆盖上海1-13号线地铁车厢和站台，每天播放3次（早、中、晚3个时段），每次2或5分钟（各15天），投放期累计并连续30天；</w:t>
      </w:r>
    </w:p>
    <w:p w:rsidR="00EA7FE4" w:rsidRPr="00EA7FE4" w:rsidRDefault="004221D1" w:rsidP="00FC5E6B">
      <w:pPr>
        <w:spacing w:line="500" w:lineRule="exact"/>
        <w:ind w:left="600" w:hangingChars="250" w:hanging="600"/>
        <w:rPr>
          <w:rStyle w:val="a00"/>
          <w:rFonts w:asciiTheme="minorEastAsia" w:eastAsiaTheme="minorEastAsia" w:hAnsiTheme="minorEastAsia" w:cs="宋体"/>
          <w:color w:val="000000"/>
          <w:kern w:val="0"/>
          <w:sz w:val="24"/>
          <w:szCs w:val="24"/>
        </w:rPr>
      </w:pPr>
      <w:r>
        <w:rPr>
          <w:rStyle w:val="a00"/>
          <w:rFonts w:asciiTheme="minorEastAsia" w:eastAsiaTheme="minorEastAsia" w:hAnsiTheme="minorEastAsia" w:cs="宋体" w:hint="eastAsia"/>
          <w:color w:val="000000"/>
          <w:kern w:val="0"/>
          <w:sz w:val="24"/>
          <w:szCs w:val="24"/>
        </w:rPr>
        <w:t>（二）</w:t>
      </w:r>
      <w:r w:rsidR="00EA7FE4" w:rsidRPr="00EA7FE4">
        <w:rPr>
          <w:rStyle w:val="a00"/>
          <w:rFonts w:asciiTheme="minorEastAsia" w:eastAsiaTheme="minorEastAsia" w:hAnsiTheme="minorEastAsia" w:cs="宋体" w:hint="eastAsia"/>
          <w:color w:val="000000"/>
          <w:kern w:val="0"/>
          <w:sz w:val="24"/>
          <w:szCs w:val="24"/>
        </w:rPr>
        <w:t>移动电视公交平台：覆盖目前全上海唯一官方公交移动电视运营平台的现有公交线路，每天播放3次（早、中、晚3个时段），每次2分钟或5分钟（各15天），投放期累计并连续30天；</w:t>
      </w:r>
    </w:p>
    <w:p w:rsidR="00EA7FE4" w:rsidRPr="00EA7FE4" w:rsidRDefault="004221D1" w:rsidP="00FC5E6B">
      <w:pPr>
        <w:spacing w:line="500" w:lineRule="exact"/>
        <w:ind w:left="480" w:hangingChars="200" w:hanging="480"/>
        <w:rPr>
          <w:rStyle w:val="a00"/>
          <w:rFonts w:asciiTheme="minorEastAsia" w:eastAsiaTheme="minorEastAsia" w:hAnsiTheme="minorEastAsia" w:cs="宋体"/>
          <w:color w:val="000000"/>
          <w:kern w:val="0"/>
          <w:sz w:val="24"/>
          <w:szCs w:val="24"/>
        </w:rPr>
      </w:pPr>
      <w:r>
        <w:rPr>
          <w:rStyle w:val="a00"/>
          <w:rFonts w:asciiTheme="minorEastAsia" w:eastAsiaTheme="minorEastAsia" w:hAnsiTheme="minorEastAsia" w:cs="宋体" w:hint="eastAsia"/>
          <w:color w:val="000000"/>
          <w:kern w:val="0"/>
          <w:sz w:val="24"/>
          <w:szCs w:val="24"/>
        </w:rPr>
        <w:t>（三）</w:t>
      </w:r>
      <w:r w:rsidR="00EA7FE4" w:rsidRPr="00EA7FE4">
        <w:rPr>
          <w:rStyle w:val="a00"/>
          <w:rFonts w:asciiTheme="minorEastAsia" w:eastAsiaTheme="minorEastAsia" w:hAnsiTheme="minorEastAsia" w:cs="宋体" w:hint="eastAsia"/>
          <w:color w:val="000000"/>
          <w:kern w:val="0"/>
          <w:sz w:val="24"/>
          <w:szCs w:val="24"/>
        </w:rPr>
        <w:t>IPTV电视：在“健康”一级页签展示，覆盖</w:t>
      </w:r>
      <w:r w:rsidR="00601E3C">
        <w:rPr>
          <w:rStyle w:val="a00"/>
          <w:rFonts w:asciiTheme="minorEastAsia" w:eastAsiaTheme="minorEastAsia" w:hAnsiTheme="minorEastAsia" w:cs="宋体" w:hint="eastAsia"/>
          <w:color w:val="000000"/>
          <w:kern w:val="0"/>
          <w:sz w:val="24"/>
          <w:szCs w:val="24"/>
        </w:rPr>
        <w:t>一</w:t>
      </w:r>
      <w:r w:rsidR="00EA7FE4" w:rsidRPr="00EA7FE4">
        <w:rPr>
          <w:rStyle w:val="a00"/>
          <w:rFonts w:asciiTheme="minorEastAsia" w:eastAsiaTheme="minorEastAsia" w:hAnsiTheme="minorEastAsia" w:cs="宋体" w:hint="eastAsia"/>
          <w:color w:val="000000"/>
          <w:kern w:val="0"/>
          <w:sz w:val="24"/>
          <w:szCs w:val="24"/>
        </w:rPr>
        <w:t>年；同时，在推荐位展示，3集视频每集1周，共3周。</w:t>
      </w:r>
    </w:p>
    <w:p w:rsidR="001A2848" w:rsidRPr="00183263" w:rsidRDefault="000E63FE" w:rsidP="00183263">
      <w:pPr>
        <w:widowControl/>
        <w:numPr>
          <w:ilvl w:val="0"/>
          <w:numId w:val="3"/>
        </w:numPr>
        <w:shd w:val="clear" w:color="auto" w:fill="FFFFFF"/>
        <w:spacing w:line="560" w:lineRule="exact"/>
        <w:ind w:firstLineChars="200" w:firstLine="482"/>
        <w:rPr>
          <w:rFonts w:asciiTheme="minorEastAsia" w:eastAsiaTheme="minorEastAsia" w:hAnsiTheme="minorEastAsia" w:cs="仿宋_GB2312"/>
          <w:b/>
          <w:bCs/>
          <w:color w:val="000000"/>
          <w:sz w:val="24"/>
          <w:szCs w:val="24"/>
        </w:rPr>
      </w:pPr>
      <w:r w:rsidRPr="00183263">
        <w:rPr>
          <w:rFonts w:asciiTheme="minorEastAsia" w:eastAsiaTheme="minorEastAsia" w:hAnsiTheme="minorEastAsia" w:cs="仿宋_GB2312" w:hint="eastAsia"/>
          <w:b/>
          <w:bCs/>
          <w:color w:val="000000"/>
          <w:sz w:val="24"/>
          <w:szCs w:val="24"/>
        </w:rPr>
        <w:t>预算</w:t>
      </w:r>
      <w:r w:rsidR="00E3409F">
        <w:rPr>
          <w:rFonts w:asciiTheme="minorEastAsia" w:eastAsiaTheme="minorEastAsia" w:hAnsiTheme="minorEastAsia" w:cs="仿宋_GB2312" w:hint="eastAsia"/>
          <w:b/>
          <w:bCs/>
          <w:color w:val="000000"/>
          <w:sz w:val="24"/>
          <w:szCs w:val="24"/>
        </w:rPr>
        <w:t>金额</w:t>
      </w:r>
    </w:p>
    <w:p w:rsidR="001A2848" w:rsidRDefault="000E63FE" w:rsidP="000216F6">
      <w:pPr>
        <w:ind w:firstLineChars="200" w:firstLine="480"/>
        <w:rPr>
          <w:rFonts w:asciiTheme="minorEastAsia" w:eastAsiaTheme="minorEastAsia" w:hAnsiTheme="minorEastAsia"/>
          <w:color w:val="000000" w:themeColor="text1"/>
          <w:sz w:val="24"/>
          <w:szCs w:val="24"/>
        </w:rPr>
      </w:pPr>
      <w:r w:rsidRPr="00183263">
        <w:rPr>
          <w:rFonts w:asciiTheme="minorEastAsia" w:eastAsiaTheme="minorEastAsia" w:hAnsiTheme="minorEastAsia" w:hint="eastAsia"/>
          <w:color w:val="000000" w:themeColor="text1"/>
          <w:sz w:val="24"/>
          <w:szCs w:val="24"/>
        </w:rPr>
        <w:t>本项目预算1</w:t>
      </w:r>
      <w:r w:rsidR="00EA7FE4">
        <w:rPr>
          <w:rFonts w:asciiTheme="minorEastAsia" w:eastAsiaTheme="minorEastAsia" w:hAnsiTheme="minorEastAsia"/>
          <w:color w:val="000000" w:themeColor="text1"/>
          <w:sz w:val="24"/>
          <w:szCs w:val="24"/>
        </w:rPr>
        <w:t>0000</w:t>
      </w:r>
      <w:r w:rsidRPr="00183263">
        <w:rPr>
          <w:rFonts w:asciiTheme="minorEastAsia" w:eastAsiaTheme="minorEastAsia" w:hAnsiTheme="minorEastAsia" w:hint="eastAsia"/>
          <w:color w:val="000000" w:themeColor="text1"/>
          <w:sz w:val="24"/>
          <w:szCs w:val="24"/>
        </w:rPr>
        <w:t>0元，详见下表。</w:t>
      </w:r>
    </w:p>
    <w:tbl>
      <w:tblPr>
        <w:tblStyle w:val="a8"/>
        <w:tblW w:w="8113" w:type="dxa"/>
        <w:jc w:val="center"/>
        <w:tblLayout w:type="fixed"/>
        <w:tblLook w:val="04A0" w:firstRow="1" w:lastRow="0" w:firstColumn="1" w:lastColumn="0" w:noHBand="0" w:noVBand="1"/>
      </w:tblPr>
      <w:tblGrid>
        <w:gridCol w:w="883"/>
        <w:gridCol w:w="1843"/>
        <w:gridCol w:w="3109"/>
        <w:gridCol w:w="975"/>
        <w:gridCol w:w="1303"/>
      </w:tblGrid>
      <w:tr w:rsidR="004221D1" w:rsidTr="00FC5E6B">
        <w:trPr>
          <w:trHeight w:val="483"/>
          <w:jc w:val="center"/>
        </w:trPr>
        <w:tc>
          <w:tcPr>
            <w:tcW w:w="883" w:type="dxa"/>
            <w:vAlign w:val="center"/>
          </w:tcPr>
          <w:p w:rsidR="004221D1" w:rsidRDefault="004221D1" w:rsidP="003E4AAF">
            <w:pPr>
              <w:jc w:val="center"/>
              <w:rPr>
                <w:rFonts w:ascii="仿宋_GB2312" w:eastAsia="仿宋_GB2312" w:hAnsi="仿宋"/>
                <w:b/>
                <w:bCs/>
                <w:color w:val="000000" w:themeColor="text1"/>
                <w:sz w:val="24"/>
                <w:szCs w:val="24"/>
              </w:rPr>
            </w:pPr>
            <w:r>
              <w:rPr>
                <w:rFonts w:ascii="仿宋_GB2312" w:eastAsia="仿宋_GB2312" w:hAnsi="仿宋" w:hint="eastAsia"/>
                <w:b/>
                <w:bCs/>
                <w:color w:val="000000" w:themeColor="text1"/>
                <w:sz w:val="24"/>
                <w:szCs w:val="24"/>
              </w:rPr>
              <w:t>序号</w:t>
            </w:r>
          </w:p>
        </w:tc>
        <w:tc>
          <w:tcPr>
            <w:tcW w:w="1843" w:type="dxa"/>
            <w:vAlign w:val="center"/>
          </w:tcPr>
          <w:p w:rsidR="004221D1" w:rsidRDefault="004221D1" w:rsidP="003E4AAF">
            <w:pPr>
              <w:jc w:val="center"/>
              <w:rPr>
                <w:rFonts w:ascii="仿宋_GB2312" w:eastAsia="仿宋_GB2312" w:hAnsi="仿宋"/>
                <w:b/>
                <w:bCs/>
                <w:color w:val="000000" w:themeColor="text1"/>
                <w:sz w:val="24"/>
                <w:szCs w:val="24"/>
              </w:rPr>
            </w:pPr>
            <w:r>
              <w:rPr>
                <w:rFonts w:ascii="仿宋_GB2312" w:eastAsia="仿宋_GB2312" w:hAnsi="仿宋" w:hint="eastAsia"/>
                <w:b/>
                <w:bCs/>
                <w:color w:val="000000" w:themeColor="text1"/>
                <w:sz w:val="24"/>
                <w:szCs w:val="24"/>
              </w:rPr>
              <w:t>项目</w:t>
            </w:r>
          </w:p>
        </w:tc>
        <w:tc>
          <w:tcPr>
            <w:tcW w:w="3109" w:type="dxa"/>
            <w:vAlign w:val="center"/>
          </w:tcPr>
          <w:p w:rsidR="004221D1" w:rsidRDefault="004221D1" w:rsidP="003E4AAF">
            <w:pPr>
              <w:jc w:val="center"/>
              <w:rPr>
                <w:rFonts w:ascii="仿宋_GB2312" w:eastAsia="仿宋_GB2312" w:hAnsi="仿宋"/>
                <w:b/>
                <w:bCs/>
                <w:color w:val="000000" w:themeColor="text1"/>
                <w:sz w:val="24"/>
                <w:szCs w:val="24"/>
              </w:rPr>
            </w:pPr>
            <w:r>
              <w:rPr>
                <w:rFonts w:ascii="仿宋_GB2312" w:eastAsia="仿宋_GB2312" w:hAnsi="仿宋" w:hint="eastAsia"/>
                <w:b/>
                <w:bCs/>
                <w:color w:val="000000" w:themeColor="text1"/>
                <w:sz w:val="24"/>
                <w:szCs w:val="24"/>
              </w:rPr>
              <w:t>内容</w:t>
            </w:r>
          </w:p>
        </w:tc>
        <w:tc>
          <w:tcPr>
            <w:tcW w:w="975" w:type="dxa"/>
            <w:vAlign w:val="center"/>
          </w:tcPr>
          <w:p w:rsidR="004221D1" w:rsidRDefault="004221D1" w:rsidP="003E4AAF">
            <w:pPr>
              <w:jc w:val="center"/>
            </w:pPr>
            <w:r>
              <w:rPr>
                <w:rFonts w:ascii="仿宋_GB2312" w:eastAsia="仿宋_GB2312" w:hAnsi="仿宋" w:hint="eastAsia"/>
                <w:b/>
                <w:bCs/>
                <w:color w:val="000000" w:themeColor="text1"/>
                <w:sz w:val="24"/>
                <w:szCs w:val="24"/>
              </w:rPr>
              <w:t>数量</w:t>
            </w:r>
          </w:p>
        </w:tc>
        <w:tc>
          <w:tcPr>
            <w:tcW w:w="1303" w:type="dxa"/>
            <w:vAlign w:val="center"/>
          </w:tcPr>
          <w:p w:rsidR="004221D1" w:rsidRDefault="004221D1" w:rsidP="003E4AAF">
            <w:pPr>
              <w:jc w:val="center"/>
              <w:rPr>
                <w:rFonts w:ascii="仿宋_GB2312" w:eastAsia="仿宋_GB2312" w:hAnsi="仿宋"/>
                <w:b/>
                <w:bCs/>
                <w:color w:val="000000" w:themeColor="text1"/>
                <w:sz w:val="24"/>
                <w:szCs w:val="24"/>
              </w:rPr>
            </w:pPr>
            <w:r>
              <w:rPr>
                <w:rFonts w:ascii="仿宋_GB2312" w:eastAsia="仿宋_GB2312" w:hAnsi="仿宋" w:hint="eastAsia"/>
                <w:b/>
                <w:bCs/>
                <w:color w:val="000000" w:themeColor="text1"/>
                <w:sz w:val="24"/>
                <w:szCs w:val="24"/>
              </w:rPr>
              <w:t>总价（元）</w:t>
            </w:r>
          </w:p>
        </w:tc>
      </w:tr>
      <w:tr w:rsidR="004221D1" w:rsidTr="00FC5E6B">
        <w:trPr>
          <w:trHeight w:val="814"/>
          <w:jc w:val="center"/>
        </w:trPr>
        <w:tc>
          <w:tcPr>
            <w:tcW w:w="883" w:type="dxa"/>
            <w:vAlign w:val="center"/>
          </w:tcPr>
          <w:p w:rsidR="004221D1" w:rsidRDefault="004221D1" w:rsidP="003E4AAF">
            <w:pPr>
              <w:jc w:val="center"/>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1</w:t>
            </w:r>
          </w:p>
        </w:tc>
        <w:tc>
          <w:tcPr>
            <w:tcW w:w="1843" w:type="dxa"/>
            <w:vAlign w:val="center"/>
          </w:tcPr>
          <w:p w:rsidR="004221D1" w:rsidRDefault="004221D1" w:rsidP="003E4AAF">
            <w:pPr>
              <w:jc w:val="lef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移动电视地铁平台</w:t>
            </w:r>
          </w:p>
        </w:tc>
        <w:tc>
          <w:tcPr>
            <w:tcW w:w="3109" w:type="dxa"/>
            <w:vAlign w:val="center"/>
          </w:tcPr>
          <w:p w:rsidR="004221D1" w:rsidRDefault="004221D1" w:rsidP="003E4AAF">
            <w:pPr>
              <w:jc w:val="lef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每次2或5分钟，3次/天（早、中、晚3个时段）</w:t>
            </w:r>
          </w:p>
        </w:tc>
        <w:tc>
          <w:tcPr>
            <w:tcW w:w="975" w:type="dxa"/>
            <w:vAlign w:val="center"/>
          </w:tcPr>
          <w:p w:rsidR="004221D1" w:rsidRDefault="004221D1" w:rsidP="003E4AAF">
            <w:pPr>
              <w:jc w:val="center"/>
            </w:pPr>
            <w:r>
              <w:rPr>
                <w:rFonts w:ascii="仿宋_GB2312" w:eastAsia="仿宋_GB2312" w:hAnsi="仿宋" w:hint="eastAsia"/>
                <w:color w:val="000000" w:themeColor="text1"/>
                <w:sz w:val="24"/>
                <w:szCs w:val="24"/>
              </w:rPr>
              <w:t>30天</w:t>
            </w:r>
          </w:p>
        </w:tc>
        <w:tc>
          <w:tcPr>
            <w:tcW w:w="1303" w:type="dxa"/>
            <w:vMerge w:val="restart"/>
            <w:vAlign w:val="center"/>
          </w:tcPr>
          <w:p w:rsidR="004221D1" w:rsidRDefault="004221D1" w:rsidP="003E4AAF">
            <w:pPr>
              <w:jc w:val="righ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100000</w:t>
            </w:r>
          </w:p>
        </w:tc>
      </w:tr>
      <w:tr w:rsidR="004221D1" w:rsidTr="00FC5E6B">
        <w:trPr>
          <w:trHeight w:val="826"/>
          <w:jc w:val="center"/>
        </w:trPr>
        <w:tc>
          <w:tcPr>
            <w:tcW w:w="883" w:type="dxa"/>
            <w:vAlign w:val="center"/>
          </w:tcPr>
          <w:p w:rsidR="004221D1" w:rsidRDefault="004221D1" w:rsidP="003E4AAF">
            <w:pPr>
              <w:jc w:val="center"/>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2</w:t>
            </w:r>
          </w:p>
        </w:tc>
        <w:tc>
          <w:tcPr>
            <w:tcW w:w="1843" w:type="dxa"/>
            <w:vAlign w:val="center"/>
          </w:tcPr>
          <w:p w:rsidR="004221D1" w:rsidRDefault="004221D1" w:rsidP="003E4AAF">
            <w:pPr>
              <w:jc w:val="lef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移动电视公交平台</w:t>
            </w:r>
          </w:p>
        </w:tc>
        <w:tc>
          <w:tcPr>
            <w:tcW w:w="3109" w:type="dxa"/>
            <w:vAlign w:val="center"/>
          </w:tcPr>
          <w:p w:rsidR="004221D1" w:rsidRDefault="004221D1" w:rsidP="003E4AAF">
            <w:pPr>
              <w:jc w:val="lef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每次2或5分钟，3次/天（早、中、晚3个时段）</w:t>
            </w:r>
          </w:p>
        </w:tc>
        <w:tc>
          <w:tcPr>
            <w:tcW w:w="975" w:type="dxa"/>
            <w:vAlign w:val="center"/>
          </w:tcPr>
          <w:p w:rsidR="004221D1" w:rsidRDefault="004221D1" w:rsidP="003E4AAF">
            <w:pPr>
              <w:jc w:val="center"/>
            </w:pPr>
            <w:r>
              <w:rPr>
                <w:rFonts w:ascii="仿宋_GB2312" w:eastAsia="仿宋_GB2312" w:hAnsi="仿宋" w:hint="eastAsia"/>
                <w:color w:val="000000" w:themeColor="text1"/>
                <w:sz w:val="24"/>
                <w:szCs w:val="24"/>
              </w:rPr>
              <w:t>30天</w:t>
            </w:r>
          </w:p>
        </w:tc>
        <w:tc>
          <w:tcPr>
            <w:tcW w:w="1303" w:type="dxa"/>
            <w:vMerge/>
            <w:vAlign w:val="center"/>
          </w:tcPr>
          <w:p w:rsidR="004221D1" w:rsidRDefault="004221D1" w:rsidP="003E4AAF">
            <w:pPr>
              <w:jc w:val="right"/>
              <w:rPr>
                <w:rFonts w:ascii="仿宋_GB2312" w:eastAsia="仿宋_GB2312" w:hAnsi="仿宋"/>
                <w:color w:val="000000" w:themeColor="text1"/>
                <w:sz w:val="24"/>
                <w:szCs w:val="24"/>
              </w:rPr>
            </w:pPr>
          </w:p>
        </w:tc>
      </w:tr>
      <w:tr w:rsidR="004221D1" w:rsidTr="003E4AAF">
        <w:trPr>
          <w:jc w:val="center"/>
        </w:trPr>
        <w:tc>
          <w:tcPr>
            <w:tcW w:w="883" w:type="dxa"/>
            <w:vAlign w:val="center"/>
          </w:tcPr>
          <w:p w:rsidR="004221D1" w:rsidRDefault="004221D1" w:rsidP="003E4AAF">
            <w:pPr>
              <w:jc w:val="center"/>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lastRenderedPageBreak/>
              <w:t>3</w:t>
            </w:r>
          </w:p>
        </w:tc>
        <w:tc>
          <w:tcPr>
            <w:tcW w:w="1843" w:type="dxa"/>
            <w:vAlign w:val="center"/>
          </w:tcPr>
          <w:p w:rsidR="004221D1" w:rsidRDefault="004221D1" w:rsidP="003E4AAF">
            <w:pPr>
              <w:jc w:val="lef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IPTV</w:t>
            </w:r>
          </w:p>
        </w:tc>
        <w:tc>
          <w:tcPr>
            <w:tcW w:w="3109" w:type="dxa"/>
            <w:vAlign w:val="center"/>
          </w:tcPr>
          <w:p w:rsidR="004221D1" w:rsidRDefault="004221D1" w:rsidP="003E4AAF">
            <w:pPr>
              <w:jc w:val="lef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IPTV-在“健康”一级页签里</w:t>
            </w:r>
            <w:r w:rsidR="00B95A0A">
              <w:rPr>
                <w:rFonts w:ascii="仿宋_GB2312" w:eastAsia="仿宋_GB2312" w:hAnsi="仿宋" w:hint="eastAsia"/>
                <w:color w:val="000000" w:themeColor="text1"/>
                <w:sz w:val="24"/>
                <w:szCs w:val="24"/>
              </w:rPr>
              <w:t>一</w:t>
            </w:r>
            <w:bookmarkStart w:id="0" w:name="_GoBack"/>
            <w:bookmarkEnd w:id="0"/>
            <w:r>
              <w:rPr>
                <w:rFonts w:ascii="仿宋_GB2312" w:eastAsia="仿宋_GB2312" w:hAnsi="仿宋" w:hint="eastAsia"/>
                <w:color w:val="000000" w:themeColor="text1"/>
                <w:sz w:val="24"/>
                <w:szCs w:val="24"/>
              </w:rPr>
              <w:t>年展示，同时推荐位3个视频每集展示1周共3周</w:t>
            </w:r>
          </w:p>
        </w:tc>
        <w:tc>
          <w:tcPr>
            <w:tcW w:w="975" w:type="dxa"/>
            <w:vAlign w:val="center"/>
          </w:tcPr>
          <w:p w:rsidR="004221D1" w:rsidRDefault="004221D1" w:rsidP="003E4AAF">
            <w:pPr>
              <w:jc w:val="center"/>
            </w:pPr>
            <w:r>
              <w:rPr>
                <w:rFonts w:ascii="仿宋_GB2312" w:eastAsia="仿宋_GB2312" w:hAnsi="仿宋" w:hint="eastAsia"/>
                <w:color w:val="000000" w:themeColor="text1"/>
                <w:sz w:val="24"/>
                <w:szCs w:val="24"/>
              </w:rPr>
              <w:t>12个月</w:t>
            </w:r>
          </w:p>
        </w:tc>
        <w:tc>
          <w:tcPr>
            <w:tcW w:w="1303" w:type="dxa"/>
            <w:vMerge/>
            <w:vAlign w:val="center"/>
          </w:tcPr>
          <w:p w:rsidR="004221D1" w:rsidRDefault="004221D1" w:rsidP="003E4AAF">
            <w:pPr>
              <w:jc w:val="right"/>
              <w:rPr>
                <w:rFonts w:ascii="仿宋_GB2312" w:eastAsia="仿宋_GB2312" w:hAnsi="仿宋"/>
                <w:color w:val="000000" w:themeColor="text1"/>
                <w:sz w:val="24"/>
                <w:szCs w:val="24"/>
              </w:rPr>
            </w:pPr>
          </w:p>
        </w:tc>
      </w:tr>
      <w:tr w:rsidR="004221D1" w:rsidTr="00FC5E6B">
        <w:trPr>
          <w:trHeight w:hRule="exact" w:val="762"/>
          <w:jc w:val="center"/>
        </w:trPr>
        <w:tc>
          <w:tcPr>
            <w:tcW w:w="2726" w:type="dxa"/>
            <w:gridSpan w:val="2"/>
            <w:vAlign w:val="center"/>
          </w:tcPr>
          <w:p w:rsidR="004221D1" w:rsidRDefault="004221D1" w:rsidP="003E4AAF">
            <w:pPr>
              <w:tabs>
                <w:tab w:val="left" w:pos="1152"/>
              </w:tabs>
              <w:jc w:val="center"/>
              <w:rPr>
                <w:rFonts w:ascii="仿宋_GB2312" w:eastAsia="仿宋_GB2312" w:hAnsi="仿宋"/>
                <w:color w:val="000000" w:themeColor="text1"/>
                <w:sz w:val="24"/>
                <w:szCs w:val="24"/>
              </w:rPr>
            </w:pPr>
            <w:r>
              <w:rPr>
                <w:rFonts w:ascii="仿宋_GB2312" w:eastAsia="仿宋_GB2312" w:hAnsi="仿宋"/>
                <w:color w:val="000000" w:themeColor="text1"/>
                <w:sz w:val="24"/>
                <w:szCs w:val="24"/>
              </w:rPr>
              <w:lastRenderedPageBreak/>
              <w:t>合计</w:t>
            </w:r>
          </w:p>
        </w:tc>
        <w:tc>
          <w:tcPr>
            <w:tcW w:w="3109" w:type="dxa"/>
            <w:vAlign w:val="center"/>
          </w:tcPr>
          <w:p w:rsidR="004221D1" w:rsidRDefault="004221D1" w:rsidP="003E4AAF">
            <w:pPr>
              <w:jc w:val="right"/>
              <w:rPr>
                <w:rFonts w:ascii="仿宋_GB2312" w:eastAsia="仿宋_GB2312" w:hAnsi="仿宋"/>
                <w:color w:val="000000" w:themeColor="text1"/>
                <w:sz w:val="24"/>
                <w:szCs w:val="24"/>
              </w:rPr>
            </w:pPr>
          </w:p>
        </w:tc>
        <w:tc>
          <w:tcPr>
            <w:tcW w:w="975" w:type="dxa"/>
            <w:vAlign w:val="center"/>
          </w:tcPr>
          <w:p w:rsidR="004221D1" w:rsidRDefault="004221D1" w:rsidP="003E4AAF">
            <w:pPr>
              <w:jc w:val="right"/>
            </w:pPr>
          </w:p>
        </w:tc>
        <w:tc>
          <w:tcPr>
            <w:tcW w:w="1303" w:type="dxa"/>
            <w:vAlign w:val="center"/>
          </w:tcPr>
          <w:p w:rsidR="004221D1" w:rsidRDefault="004221D1" w:rsidP="003E4AAF">
            <w:pPr>
              <w:jc w:val="righ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100000</w:t>
            </w:r>
          </w:p>
        </w:tc>
      </w:tr>
    </w:tbl>
    <w:p w:rsidR="00085B4B" w:rsidRPr="00085B4B" w:rsidRDefault="00085B4B" w:rsidP="00085B4B">
      <w:pPr>
        <w:widowControl/>
        <w:numPr>
          <w:ilvl w:val="0"/>
          <w:numId w:val="3"/>
        </w:numPr>
        <w:shd w:val="clear" w:color="auto" w:fill="FFFFFF"/>
        <w:spacing w:line="560" w:lineRule="exact"/>
        <w:ind w:firstLineChars="200" w:firstLine="482"/>
        <w:rPr>
          <w:rFonts w:asciiTheme="minorEastAsia" w:eastAsiaTheme="minorEastAsia" w:hAnsiTheme="minorEastAsia" w:cs="仿宋_GB2312"/>
          <w:b/>
          <w:bCs/>
          <w:color w:val="000000"/>
          <w:sz w:val="24"/>
          <w:szCs w:val="24"/>
        </w:rPr>
      </w:pPr>
      <w:r w:rsidRPr="00085B4B">
        <w:rPr>
          <w:rFonts w:asciiTheme="minorEastAsia" w:eastAsiaTheme="minorEastAsia" w:hAnsiTheme="minorEastAsia" w:cs="仿宋_GB2312" w:hint="eastAsia"/>
          <w:b/>
          <w:bCs/>
          <w:color w:val="000000"/>
          <w:sz w:val="24"/>
          <w:szCs w:val="24"/>
        </w:rPr>
        <w:t>服务时间</w:t>
      </w:r>
    </w:p>
    <w:p w:rsidR="001A2848" w:rsidRPr="00085B4B" w:rsidRDefault="00EA7FE4" w:rsidP="00085B4B">
      <w:pPr>
        <w:spacing w:line="560" w:lineRule="exact"/>
        <w:ind w:right="301" w:firstLineChars="200" w:firstLine="480"/>
        <w:rPr>
          <w:rFonts w:asciiTheme="minorEastAsia" w:eastAsiaTheme="minorEastAsia" w:hAnsiTheme="minorEastAsia" w:cs="仿宋"/>
          <w:sz w:val="24"/>
          <w:szCs w:val="24"/>
        </w:rPr>
      </w:pPr>
      <w:r w:rsidRPr="00EA7FE4">
        <w:rPr>
          <w:rFonts w:asciiTheme="majorEastAsia" w:eastAsiaTheme="majorEastAsia" w:hAnsiTheme="majorEastAsia" w:cs="宋体" w:hint="eastAsia"/>
          <w:sz w:val="24"/>
          <w:szCs w:val="24"/>
        </w:rPr>
        <w:t>自合同签署之日起至2025年11月30日</w:t>
      </w:r>
      <w:r w:rsidR="00B3407C">
        <w:rPr>
          <w:rFonts w:asciiTheme="majorEastAsia" w:eastAsiaTheme="majorEastAsia" w:hAnsiTheme="majorEastAsia" w:cs="宋体" w:hint="eastAsia"/>
          <w:sz w:val="24"/>
          <w:szCs w:val="24"/>
        </w:rPr>
        <w:t>完成</w:t>
      </w:r>
      <w:r w:rsidR="00085B4B">
        <w:rPr>
          <w:rFonts w:asciiTheme="majorEastAsia" w:eastAsiaTheme="majorEastAsia" w:hAnsiTheme="majorEastAsia" w:cs="宋体" w:hint="eastAsia"/>
          <w:sz w:val="24"/>
          <w:szCs w:val="24"/>
        </w:rPr>
        <w:t>。</w:t>
      </w:r>
    </w:p>
    <w:sectPr w:rsidR="001A2848" w:rsidRPr="00085B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9C4" w:rsidRDefault="000679C4" w:rsidP="00B3407C">
      <w:r>
        <w:separator/>
      </w:r>
    </w:p>
  </w:endnote>
  <w:endnote w:type="continuationSeparator" w:id="0">
    <w:p w:rsidR="000679C4" w:rsidRDefault="000679C4" w:rsidP="00B3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9C4" w:rsidRDefault="000679C4" w:rsidP="00B3407C">
      <w:r>
        <w:separator/>
      </w:r>
    </w:p>
  </w:footnote>
  <w:footnote w:type="continuationSeparator" w:id="0">
    <w:p w:rsidR="000679C4" w:rsidRDefault="000679C4" w:rsidP="00B340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18E2C"/>
    <w:multiLevelType w:val="singleLevel"/>
    <w:tmpl w:val="8FE18E2C"/>
    <w:lvl w:ilvl="0">
      <w:start w:val="3"/>
      <w:numFmt w:val="chineseCounting"/>
      <w:suff w:val="nothing"/>
      <w:lvlText w:val="%1、"/>
      <w:lvlJc w:val="left"/>
      <w:rPr>
        <w:rFonts w:hint="eastAsia"/>
      </w:rPr>
    </w:lvl>
  </w:abstractNum>
  <w:abstractNum w:abstractNumId="1" w15:restartNumberingAfterBreak="0">
    <w:nsid w:val="FA45176E"/>
    <w:multiLevelType w:val="singleLevel"/>
    <w:tmpl w:val="FA45176E"/>
    <w:lvl w:ilvl="0">
      <w:start w:val="1"/>
      <w:numFmt w:val="chineseCounting"/>
      <w:suff w:val="nothing"/>
      <w:lvlText w:val="（%1）"/>
      <w:lvlJc w:val="left"/>
      <w:rPr>
        <w:rFonts w:hint="eastAsia"/>
      </w:rPr>
    </w:lvl>
  </w:abstractNum>
  <w:abstractNum w:abstractNumId="2" w15:restartNumberingAfterBreak="0">
    <w:nsid w:val="0C4A135A"/>
    <w:multiLevelType w:val="multilevel"/>
    <w:tmpl w:val="0C4A135A"/>
    <w:lvl w:ilvl="0">
      <w:start w:val="1"/>
      <w:numFmt w:val="decimal"/>
      <w:pStyle w:val="1"/>
      <w:suff w:val="space"/>
      <w:lvlText w:val="第%1章"/>
      <w:lvlJc w:val="left"/>
      <w:pPr>
        <w:ind w:left="425" w:hanging="425"/>
      </w:pPr>
      <w:rPr>
        <w:rFonts w:asciiTheme="minorHAnsi" w:eastAsia="微软雅黑" w:hAnsiTheme="minorHAnsi" w:cstheme="minorHAnsi" w:hint="default"/>
      </w:rPr>
    </w:lvl>
    <w:lvl w:ilvl="1">
      <w:start w:val="1"/>
      <w:numFmt w:val="decimal"/>
      <w:pStyle w:val="2"/>
      <w:suff w:val="space"/>
      <w:lvlText w:val="%1.%2."/>
      <w:lvlJc w:val="left"/>
      <w:pPr>
        <w:ind w:left="426"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suff w:val="space"/>
      <w:lvlText w:val="%1.%2.%3.%4.%5.%6.%7."/>
      <w:lvlJc w:val="left"/>
      <w:pPr>
        <w:ind w:left="0" w:firstLine="0"/>
      </w:pPr>
      <w:rPr>
        <w:rFonts w:hint="eastAsia"/>
      </w:rPr>
    </w:lvl>
    <w:lvl w:ilvl="7">
      <w:start w:val="1"/>
      <w:numFmt w:val="decimal"/>
      <w:pStyle w:val="8"/>
      <w:suff w:val="space"/>
      <w:lvlText w:val="%1.%2.%3.%4.%5.%6.%7.%8."/>
      <w:lvlJc w:val="left"/>
      <w:pPr>
        <w:ind w:left="0" w:firstLine="0"/>
      </w:pPr>
      <w:rPr>
        <w:rFonts w:hint="eastAsia"/>
      </w:rPr>
    </w:lvl>
    <w:lvl w:ilvl="8">
      <w:start w:val="1"/>
      <w:numFmt w:val="decimal"/>
      <w:pStyle w:val="9"/>
      <w:suff w:val="space"/>
      <w:lvlText w:val="%1.%2.%3.%4.%5.%6.%7.%8.%9."/>
      <w:lvlJc w:val="left"/>
      <w:pPr>
        <w:ind w:left="0" w:firstLine="0"/>
      </w:pPr>
      <w:rPr>
        <w:rFonts w:ascii="Calibri" w:hAnsi="Calibri" w:hint="default"/>
      </w:rPr>
    </w:lvl>
  </w:abstractNum>
  <w:num w:numId="1">
    <w:abstractNumId w:val="2"/>
    <w:lvlOverride w:ilvl="0">
      <w:lvl w:ilvl="0" w:tentative="1">
        <w:start w:val="1"/>
        <w:numFmt w:val="decimal"/>
        <w:pStyle w:val="1"/>
        <w:suff w:val="space"/>
        <w:lvlText w:val="第%1章"/>
        <w:lvlJc w:val="left"/>
        <w:pPr>
          <w:ind w:left="425" w:hanging="425"/>
        </w:pPr>
        <w:rPr>
          <w:rFonts w:asciiTheme="minorHAnsi" w:eastAsia="微软雅黑" w:hAnsiTheme="minorHAnsi" w:cstheme="minorHAnsi" w:hint="default"/>
        </w:rPr>
      </w:lvl>
    </w:lvlOverride>
    <w:lvlOverride w:ilvl="1">
      <w:lvl w:ilvl="1" w:tentative="1">
        <w:start w:val="1"/>
        <w:numFmt w:val="decimal"/>
        <w:pStyle w:val="2"/>
        <w:suff w:val="space"/>
        <w:lvlText w:val="%1.%2."/>
        <w:lvlJc w:val="left"/>
        <w:pPr>
          <w:ind w:left="426" w:firstLine="0"/>
        </w:pPr>
        <w:rPr>
          <w:rFonts w:hint="eastAsia"/>
        </w:rPr>
      </w:lvl>
    </w:lvlOverride>
    <w:lvlOverride w:ilvl="2">
      <w:lvl w:ilvl="2" w:tentative="1">
        <w:start w:val="1"/>
        <w:numFmt w:val="decimal"/>
        <w:pStyle w:val="3"/>
        <w:suff w:val="space"/>
        <w:lvlText w:val="%1.%2.%3."/>
        <w:lvlJc w:val="left"/>
        <w:pPr>
          <w:ind w:left="0" w:firstLine="0"/>
        </w:pPr>
        <w:rPr>
          <w:rFonts w:hint="eastAsia"/>
        </w:rPr>
      </w:lvl>
    </w:lvlOverride>
    <w:lvlOverride w:ilvl="3">
      <w:lvl w:ilvl="3" w:tentative="1">
        <w:start w:val="1"/>
        <w:numFmt w:val="decimal"/>
        <w:pStyle w:val="4"/>
        <w:suff w:val="space"/>
        <w:lvlText w:val="%1.%2.%3.%4."/>
        <w:lvlJc w:val="left"/>
        <w:pPr>
          <w:ind w:left="0" w:firstLine="0"/>
        </w:pPr>
        <w:rPr>
          <w:rFonts w:hint="eastAsia"/>
        </w:rPr>
      </w:lvl>
    </w:lvlOverride>
    <w:lvlOverride w:ilvl="4">
      <w:lvl w:ilvl="4" w:tentative="1">
        <w:start w:val="1"/>
        <w:numFmt w:val="decimal"/>
        <w:pStyle w:val="5"/>
        <w:suff w:val="space"/>
        <w:lvlText w:val="%1.%2.%3.%4.%5."/>
        <w:lvlJc w:val="left"/>
        <w:pPr>
          <w:ind w:left="0" w:firstLine="0"/>
        </w:pPr>
        <w:rPr>
          <w:rFonts w:hint="eastAsia"/>
        </w:rPr>
      </w:lvl>
    </w:lvlOverride>
    <w:lvlOverride w:ilvl="5">
      <w:lvl w:ilvl="5" w:tentative="1">
        <w:start w:val="1"/>
        <w:numFmt w:val="decimal"/>
        <w:pStyle w:val="6"/>
        <w:suff w:val="space"/>
        <w:lvlText w:val="%1.%2.%3.%4.%5.%6."/>
        <w:lvlJc w:val="left"/>
        <w:pPr>
          <w:ind w:left="0" w:firstLine="0"/>
        </w:pPr>
        <w:rPr>
          <w:rFonts w:hint="eastAsia"/>
        </w:rPr>
      </w:lvl>
    </w:lvlOverride>
    <w:lvlOverride w:ilvl="6">
      <w:lvl w:ilvl="6" w:tentative="1">
        <w:start w:val="1"/>
        <w:numFmt w:val="decimal"/>
        <w:pStyle w:val="7"/>
        <w:suff w:val="space"/>
        <w:lvlText w:val="%1.%2.%3.%4.%5.%6.%7."/>
        <w:lvlJc w:val="left"/>
        <w:pPr>
          <w:ind w:left="0" w:firstLine="0"/>
        </w:pPr>
        <w:rPr>
          <w:rFonts w:hint="eastAsia"/>
        </w:rPr>
      </w:lvl>
    </w:lvlOverride>
    <w:lvlOverride w:ilvl="7">
      <w:lvl w:ilvl="7" w:tentative="1">
        <w:start w:val="1"/>
        <w:numFmt w:val="decimal"/>
        <w:pStyle w:val="8"/>
        <w:suff w:val="space"/>
        <w:lvlText w:val="%1.%2.%3.%4.%5.%6.%7.%8."/>
        <w:lvlJc w:val="left"/>
        <w:pPr>
          <w:ind w:left="0" w:firstLine="0"/>
        </w:pPr>
        <w:rPr>
          <w:rFonts w:hint="eastAsia"/>
        </w:rPr>
      </w:lvl>
    </w:lvlOverride>
    <w:lvlOverride w:ilvl="8">
      <w:lvl w:ilvl="8" w:tentative="1">
        <w:start w:val="1"/>
        <w:numFmt w:val="decimal"/>
        <w:pStyle w:val="9"/>
        <w:suff w:val="space"/>
        <w:lvlText w:val="%1.%2.%3.%4.%5.%6.%7.%8.%9."/>
        <w:lvlJc w:val="left"/>
        <w:pPr>
          <w:ind w:left="0" w:firstLine="0"/>
        </w:pPr>
        <w:rPr>
          <w:rFonts w:ascii="Calibri" w:hAnsi="Calibri" w:hint="default"/>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iNDlhMmFjODk2YjFhYTViYzQzYzBjMzY4NTQ4ZjAifQ=="/>
  </w:docVars>
  <w:rsids>
    <w:rsidRoot w:val="00CF2137"/>
    <w:rsid w:val="000058DB"/>
    <w:rsid w:val="00013C67"/>
    <w:rsid w:val="000206FE"/>
    <w:rsid w:val="000216F6"/>
    <w:rsid w:val="00023EA4"/>
    <w:rsid w:val="00045B45"/>
    <w:rsid w:val="00060C20"/>
    <w:rsid w:val="000630AE"/>
    <w:rsid w:val="000679C4"/>
    <w:rsid w:val="00072173"/>
    <w:rsid w:val="00073D4F"/>
    <w:rsid w:val="00085B4B"/>
    <w:rsid w:val="00094C30"/>
    <w:rsid w:val="0009655C"/>
    <w:rsid w:val="000965A8"/>
    <w:rsid w:val="000B34F4"/>
    <w:rsid w:val="000C2753"/>
    <w:rsid w:val="000D1E9C"/>
    <w:rsid w:val="000D6DB7"/>
    <w:rsid w:val="000E2186"/>
    <w:rsid w:val="000E2D88"/>
    <w:rsid w:val="000E5924"/>
    <w:rsid w:val="000E63FE"/>
    <w:rsid w:val="001052E2"/>
    <w:rsid w:val="00112F2B"/>
    <w:rsid w:val="00123D89"/>
    <w:rsid w:val="0013271D"/>
    <w:rsid w:val="00141D9B"/>
    <w:rsid w:val="001461B1"/>
    <w:rsid w:val="001468B7"/>
    <w:rsid w:val="00151995"/>
    <w:rsid w:val="00151B07"/>
    <w:rsid w:val="00153472"/>
    <w:rsid w:val="00175426"/>
    <w:rsid w:val="00175F30"/>
    <w:rsid w:val="00183263"/>
    <w:rsid w:val="00183450"/>
    <w:rsid w:val="001A0467"/>
    <w:rsid w:val="001A2848"/>
    <w:rsid w:val="001A6A92"/>
    <w:rsid w:val="001A7C80"/>
    <w:rsid w:val="001B1013"/>
    <w:rsid w:val="001B5D94"/>
    <w:rsid w:val="001C0510"/>
    <w:rsid w:val="001D5057"/>
    <w:rsid w:val="001D6951"/>
    <w:rsid w:val="001E350F"/>
    <w:rsid w:val="001E44ED"/>
    <w:rsid w:val="001E6837"/>
    <w:rsid w:val="001F7275"/>
    <w:rsid w:val="002064D4"/>
    <w:rsid w:val="00242562"/>
    <w:rsid w:val="00251D94"/>
    <w:rsid w:val="002815C7"/>
    <w:rsid w:val="002B203E"/>
    <w:rsid w:val="002D5AC8"/>
    <w:rsid w:val="002F4C27"/>
    <w:rsid w:val="003115CF"/>
    <w:rsid w:val="00311F97"/>
    <w:rsid w:val="003120C3"/>
    <w:rsid w:val="00315D8E"/>
    <w:rsid w:val="00316061"/>
    <w:rsid w:val="00337D52"/>
    <w:rsid w:val="00347A4B"/>
    <w:rsid w:val="003528AC"/>
    <w:rsid w:val="003576A3"/>
    <w:rsid w:val="003674FB"/>
    <w:rsid w:val="00380545"/>
    <w:rsid w:val="00385B9D"/>
    <w:rsid w:val="00385F6D"/>
    <w:rsid w:val="00393703"/>
    <w:rsid w:val="003A3ABA"/>
    <w:rsid w:val="003B2553"/>
    <w:rsid w:val="003D12D7"/>
    <w:rsid w:val="003D4B85"/>
    <w:rsid w:val="003E546F"/>
    <w:rsid w:val="003E5B9C"/>
    <w:rsid w:val="003F414C"/>
    <w:rsid w:val="003F4922"/>
    <w:rsid w:val="00400CBA"/>
    <w:rsid w:val="0040160A"/>
    <w:rsid w:val="00404D2B"/>
    <w:rsid w:val="0041337E"/>
    <w:rsid w:val="00413B42"/>
    <w:rsid w:val="00417B61"/>
    <w:rsid w:val="004221D1"/>
    <w:rsid w:val="00454359"/>
    <w:rsid w:val="0045764D"/>
    <w:rsid w:val="00471B80"/>
    <w:rsid w:val="004A0104"/>
    <w:rsid w:val="004E1F9E"/>
    <w:rsid w:val="004F2A34"/>
    <w:rsid w:val="004F31DA"/>
    <w:rsid w:val="00512A4B"/>
    <w:rsid w:val="0052190D"/>
    <w:rsid w:val="00550523"/>
    <w:rsid w:val="005518D9"/>
    <w:rsid w:val="00572C94"/>
    <w:rsid w:val="00584ADA"/>
    <w:rsid w:val="005A41DA"/>
    <w:rsid w:val="005B1F52"/>
    <w:rsid w:val="005C0B57"/>
    <w:rsid w:val="00601E3C"/>
    <w:rsid w:val="0060417F"/>
    <w:rsid w:val="006156D1"/>
    <w:rsid w:val="0061743D"/>
    <w:rsid w:val="006334F1"/>
    <w:rsid w:val="00633888"/>
    <w:rsid w:val="00633AD0"/>
    <w:rsid w:val="00650439"/>
    <w:rsid w:val="0065703A"/>
    <w:rsid w:val="00660E5B"/>
    <w:rsid w:val="006611E7"/>
    <w:rsid w:val="00685244"/>
    <w:rsid w:val="0068574F"/>
    <w:rsid w:val="006B27DD"/>
    <w:rsid w:val="006B4892"/>
    <w:rsid w:val="006B4E42"/>
    <w:rsid w:val="006C0A59"/>
    <w:rsid w:val="006E4DEA"/>
    <w:rsid w:val="006E7D65"/>
    <w:rsid w:val="007027FA"/>
    <w:rsid w:val="00713C75"/>
    <w:rsid w:val="007226E1"/>
    <w:rsid w:val="00725B82"/>
    <w:rsid w:val="00730646"/>
    <w:rsid w:val="0074129B"/>
    <w:rsid w:val="00741961"/>
    <w:rsid w:val="00755273"/>
    <w:rsid w:val="00765039"/>
    <w:rsid w:val="00774427"/>
    <w:rsid w:val="0077483C"/>
    <w:rsid w:val="00787D0E"/>
    <w:rsid w:val="00794543"/>
    <w:rsid w:val="007A1B7F"/>
    <w:rsid w:val="007C1760"/>
    <w:rsid w:val="007C349F"/>
    <w:rsid w:val="007D526B"/>
    <w:rsid w:val="007D68E4"/>
    <w:rsid w:val="007E46C4"/>
    <w:rsid w:val="008325F4"/>
    <w:rsid w:val="008421F6"/>
    <w:rsid w:val="008448BB"/>
    <w:rsid w:val="00847935"/>
    <w:rsid w:val="00856441"/>
    <w:rsid w:val="008605F8"/>
    <w:rsid w:val="00867BFC"/>
    <w:rsid w:val="0089107E"/>
    <w:rsid w:val="008B737E"/>
    <w:rsid w:val="008C0B0E"/>
    <w:rsid w:val="008C3FA7"/>
    <w:rsid w:val="008C4A7C"/>
    <w:rsid w:val="00911979"/>
    <w:rsid w:val="009411B2"/>
    <w:rsid w:val="009545B5"/>
    <w:rsid w:val="0095793B"/>
    <w:rsid w:val="00957B4F"/>
    <w:rsid w:val="00965FFA"/>
    <w:rsid w:val="00990B59"/>
    <w:rsid w:val="00992EA8"/>
    <w:rsid w:val="009C6042"/>
    <w:rsid w:val="009C7E92"/>
    <w:rsid w:val="009D5901"/>
    <w:rsid w:val="009E2988"/>
    <w:rsid w:val="009E5641"/>
    <w:rsid w:val="00A03A01"/>
    <w:rsid w:val="00A143A3"/>
    <w:rsid w:val="00A1694C"/>
    <w:rsid w:val="00A22C6B"/>
    <w:rsid w:val="00A3283B"/>
    <w:rsid w:val="00A33531"/>
    <w:rsid w:val="00A4108B"/>
    <w:rsid w:val="00A655E2"/>
    <w:rsid w:val="00A717DC"/>
    <w:rsid w:val="00A731C5"/>
    <w:rsid w:val="00A74B72"/>
    <w:rsid w:val="00A7643A"/>
    <w:rsid w:val="00A90627"/>
    <w:rsid w:val="00AA3882"/>
    <w:rsid w:val="00AD2A6C"/>
    <w:rsid w:val="00AD48AC"/>
    <w:rsid w:val="00AE58B5"/>
    <w:rsid w:val="00AE6615"/>
    <w:rsid w:val="00AF0FA1"/>
    <w:rsid w:val="00B1117A"/>
    <w:rsid w:val="00B14D79"/>
    <w:rsid w:val="00B3407C"/>
    <w:rsid w:val="00B40DD6"/>
    <w:rsid w:val="00B43878"/>
    <w:rsid w:val="00B50412"/>
    <w:rsid w:val="00B5733E"/>
    <w:rsid w:val="00B6125C"/>
    <w:rsid w:val="00B626C1"/>
    <w:rsid w:val="00B754B0"/>
    <w:rsid w:val="00B80073"/>
    <w:rsid w:val="00B95A0A"/>
    <w:rsid w:val="00BA75E4"/>
    <w:rsid w:val="00BE3CEC"/>
    <w:rsid w:val="00C12240"/>
    <w:rsid w:val="00C432F6"/>
    <w:rsid w:val="00C44FD0"/>
    <w:rsid w:val="00C50B57"/>
    <w:rsid w:val="00C562D4"/>
    <w:rsid w:val="00C63600"/>
    <w:rsid w:val="00C826E0"/>
    <w:rsid w:val="00CA4681"/>
    <w:rsid w:val="00CD0005"/>
    <w:rsid w:val="00CD05E7"/>
    <w:rsid w:val="00CE4C01"/>
    <w:rsid w:val="00CF2137"/>
    <w:rsid w:val="00D24FAE"/>
    <w:rsid w:val="00D60294"/>
    <w:rsid w:val="00D72683"/>
    <w:rsid w:val="00D74B14"/>
    <w:rsid w:val="00D812A2"/>
    <w:rsid w:val="00DA269B"/>
    <w:rsid w:val="00DA742A"/>
    <w:rsid w:val="00DF5299"/>
    <w:rsid w:val="00E0036E"/>
    <w:rsid w:val="00E06A5D"/>
    <w:rsid w:val="00E13BAF"/>
    <w:rsid w:val="00E14A28"/>
    <w:rsid w:val="00E15212"/>
    <w:rsid w:val="00E1574A"/>
    <w:rsid w:val="00E254AA"/>
    <w:rsid w:val="00E26C81"/>
    <w:rsid w:val="00E32CE8"/>
    <w:rsid w:val="00E3409F"/>
    <w:rsid w:val="00E43A95"/>
    <w:rsid w:val="00E544E7"/>
    <w:rsid w:val="00E56283"/>
    <w:rsid w:val="00E63915"/>
    <w:rsid w:val="00E70A5A"/>
    <w:rsid w:val="00E76B66"/>
    <w:rsid w:val="00E77F69"/>
    <w:rsid w:val="00E825B9"/>
    <w:rsid w:val="00EA7FE4"/>
    <w:rsid w:val="00EC530E"/>
    <w:rsid w:val="00EF6E92"/>
    <w:rsid w:val="00EF76E1"/>
    <w:rsid w:val="00F02262"/>
    <w:rsid w:val="00F0699C"/>
    <w:rsid w:val="00F1729F"/>
    <w:rsid w:val="00F21F9C"/>
    <w:rsid w:val="00F227BA"/>
    <w:rsid w:val="00F26AC7"/>
    <w:rsid w:val="00F33D14"/>
    <w:rsid w:val="00F35019"/>
    <w:rsid w:val="00F4137E"/>
    <w:rsid w:val="00F429B7"/>
    <w:rsid w:val="00F508D5"/>
    <w:rsid w:val="00F56494"/>
    <w:rsid w:val="00F72186"/>
    <w:rsid w:val="00F72EBF"/>
    <w:rsid w:val="00F731A5"/>
    <w:rsid w:val="00FA5E85"/>
    <w:rsid w:val="00FA7AA6"/>
    <w:rsid w:val="00FB6987"/>
    <w:rsid w:val="00FC1B04"/>
    <w:rsid w:val="00FC41C7"/>
    <w:rsid w:val="00FC5E6B"/>
    <w:rsid w:val="010C5871"/>
    <w:rsid w:val="01725358"/>
    <w:rsid w:val="017A24A8"/>
    <w:rsid w:val="01D01906"/>
    <w:rsid w:val="02D57FF9"/>
    <w:rsid w:val="033D335C"/>
    <w:rsid w:val="038335C5"/>
    <w:rsid w:val="04C16072"/>
    <w:rsid w:val="07014BC7"/>
    <w:rsid w:val="07FA5571"/>
    <w:rsid w:val="0B0E5B1A"/>
    <w:rsid w:val="0C9570AC"/>
    <w:rsid w:val="0F51019D"/>
    <w:rsid w:val="104333B6"/>
    <w:rsid w:val="143662DC"/>
    <w:rsid w:val="158E3287"/>
    <w:rsid w:val="18053E40"/>
    <w:rsid w:val="18633A62"/>
    <w:rsid w:val="1AC2296D"/>
    <w:rsid w:val="1BE42483"/>
    <w:rsid w:val="1D1F3FE6"/>
    <w:rsid w:val="1E672684"/>
    <w:rsid w:val="212A6728"/>
    <w:rsid w:val="23296044"/>
    <w:rsid w:val="23F6722C"/>
    <w:rsid w:val="24DC2714"/>
    <w:rsid w:val="24E4571E"/>
    <w:rsid w:val="287A05FB"/>
    <w:rsid w:val="2E5D3891"/>
    <w:rsid w:val="2FDB5AE3"/>
    <w:rsid w:val="31505EFA"/>
    <w:rsid w:val="31DA5695"/>
    <w:rsid w:val="33340E81"/>
    <w:rsid w:val="34610223"/>
    <w:rsid w:val="35B20DD7"/>
    <w:rsid w:val="3B9D1455"/>
    <w:rsid w:val="3CE34CF1"/>
    <w:rsid w:val="407F6B9E"/>
    <w:rsid w:val="411573D1"/>
    <w:rsid w:val="414D0384"/>
    <w:rsid w:val="4304332C"/>
    <w:rsid w:val="435055F7"/>
    <w:rsid w:val="463A25CD"/>
    <w:rsid w:val="46D20EE6"/>
    <w:rsid w:val="47A35CA3"/>
    <w:rsid w:val="4AEE2324"/>
    <w:rsid w:val="4C9E5310"/>
    <w:rsid w:val="4D1222E1"/>
    <w:rsid w:val="4D136CA8"/>
    <w:rsid w:val="4E6C55C4"/>
    <w:rsid w:val="4F176B60"/>
    <w:rsid w:val="4F99600A"/>
    <w:rsid w:val="50220646"/>
    <w:rsid w:val="52B872BA"/>
    <w:rsid w:val="54A1693F"/>
    <w:rsid w:val="562A7949"/>
    <w:rsid w:val="589C39E3"/>
    <w:rsid w:val="5BB37460"/>
    <w:rsid w:val="5D807BA8"/>
    <w:rsid w:val="5E742BA2"/>
    <w:rsid w:val="5E9E0CE7"/>
    <w:rsid w:val="5EF751B3"/>
    <w:rsid w:val="60317960"/>
    <w:rsid w:val="63DB22F4"/>
    <w:rsid w:val="64046F3E"/>
    <w:rsid w:val="64092793"/>
    <w:rsid w:val="65A16742"/>
    <w:rsid w:val="65EF132B"/>
    <w:rsid w:val="690F197E"/>
    <w:rsid w:val="6A336611"/>
    <w:rsid w:val="6A4462A9"/>
    <w:rsid w:val="6B862CB6"/>
    <w:rsid w:val="6C363109"/>
    <w:rsid w:val="6CBF7757"/>
    <w:rsid w:val="6DBE4A8E"/>
    <w:rsid w:val="6F112335"/>
    <w:rsid w:val="6F361A9A"/>
    <w:rsid w:val="700579AC"/>
    <w:rsid w:val="71705C8B"/>
    <w:rsid w:val="71EF71F6"/>
    <w:rsid w:val="7862095C"/>
    <w:rsid w:val="788F4E02"/>
    <w:rsid w:val="78ED1F6C"/>
    <w:rsid w:val="791305BF"/>
    <w:rsid w:val="797B3BFA"/>
    <w:rsid w:val="79C405F5"/>
    <w:rsid w:val="7A93112A"/>
    <w:rsid w:val="7C86332E"/>
    <w:rsid w:val="7F0A69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ED2F02-EB36-4954-ADEA-C0520522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 w:hAnsiTheme="minorHAnsi" w:cstheme="minorBidi"/>
      <w:kern w:val="2"/>
      <w:sz w:val="32"/>
      <w:szCs w:val="22"/>
    </w:rPr>
  </w:style>
  <w:style w:type="paragraph" w:styleId="1">
    <w:name w:val="heading 1"/>
    <w:basedOn w:val="a"/>
    <w:next w:val="a"/>
    <w:link w:val="10"/>
    <w:qFormat/>
    <w:pPr>
      <w:keepNext/>
      <w:keepLines/>
      <w:pageBreakBefore/>
      <w:numPr>
        <w:numId w:val="1"/>
      </w:numPr>
      <w:spacing w:before="240" w:after="240" w:line="480" w:lineRule="auto"/>
      <w:outlineLvl w:val="0"/>
    </w:pPr>
    <w:rPr>
      <w:rFonts w:ascii="Calibri" w:eastAsia="微软雅黑" w:hAnsi="Calibri" w:cs="宋体"/>
      <w:b/>
      <w:bCs/>
      <w:kern w:val="44"/>
      <w:sz w:val="36"/>
      <w:szCs w:val="44"/>
    </w:rPr>
  </w:style>
  <w:style w:type="paragraph" w:styleId="2">
    <w:name w:val="heading 2"/>
    <w:basedOn w:val="a"/>
    <w:next w:val="a"/>
    <w:link w:val="20"/>
    <w:unhideWhenUsed/>
    <w:qFormat/>
    <w:pPr>
      <w:keepNext/>
      <w:keepLines/>
      <w:numPr>
        <w:ilvl w:val="1"/>
        <w:numId w:val="1"/>
      </w:numPr>
      <w:spacing w:before="180" w:after="180" w:line="480" w:lineRule="auto"/>
      <w:outlineLvl w:val="1"/>
    </w:pPr>
    <w:rPr>
      <w:rFonts w:ascii="Calibri" w:eastAsia="微软雅黑" w:hAnsi="Calibri" w:cs="宋体"/>
      <w:bCs/>
      <w:szCs w:val="32"/>
    </w:rPr>
  </w:style>
  <w:style w:type="paragraph" w:styleId="3">
    <w:name w:val="heading 3"/>
    <w:basedOn w:val="a"/>
    <w:next w:val="a"/>
    <w:link w:val="30"/>
    <w:unhideWhenUsed/>
    <w:qFormat/>
    <w:pPr>
      <w:keepNext/>
      <w:keepLines/>
      <w:numPr>
        <w:ilvl w:val="2"/>
        <w:numId w:val="1"/>
      </w:numPr>
      <w:spacing w:before="120" w:after="120" w:line="360" w:lineRule="auto"/>
      <w:outlineLvl w:val="2"/>
    </w:pPr>
    <w:rPr>
      <w:rFonts w:ascii="Calibri" w:eastAsia="微软雅黑" w:hAnsi="Calibri" w:cs="宋体"/>
      <w:bCs/>
      <w:sz w:val="30"/>
      <w:szCs w:val="32"/>
    </w:rPr>
  </w:style>
  <w:style w:type="paragraph" w:styleId="4">
    <w:name w:val="heading 4"/>
    <w:basedOn w:val="a"/>
    <w:next w:val="a"/>
    <w:link w:val="40"/>
    <w:unhideWhenUsed/>
    <w:qFormat/>
    <w:pPr>
      <w:keepNext/>
      <w:keepLines/>
      <w:numPr>
        <w:ilvl w:val="3"/>
        <w:numId w:val="1"/>
      </w:numPr>
      <w:spacing w:before="60" w:after="60" w:line="360" w:lineRule="auto"/>
      <w:outlineLvl w:val="3"/>
    </w:pPr>
    <w:rPr>
      <w:rFonts w:ascii="Calibri" w:eastAsia="微软雅黑" w:hAnsi="Calibri" w:cs="宋体"/>
      <w:bCs/>
      <w:sz w:val="28"/>
      <w:szCs w:val="28"/>
    </w:rPr>
  </w:style>
  <w:style w:type="paragraph" w:styleId="5">
    <w:name w:val="heading 5"/>
    <w:basedOn w:val="a"/>
    <w:next w:val="a"/>
    <w:link w:val="50"/>
    <w:unhideWhenUsed/>
    <w:qFormat/>
    <w:pPr>
      <w:keepNext/>
      <w:keepLines/>
      <w:numPr>
        <w:ilvl w:val="4"/>
        <w:numId w:val="1"/>
      </w:numPr>
      <w:spacing w:line="360" w:lineRule="auto"/>
      <w:outlineLvl w:val="4"/>
    </w:pPr>
    <w:rPr>
      <w:rFonts w:ascii="Calibri" w:eastAsia="微软雅黑" w:hAnsi="Calibri" w:cs="宋体"/>
      <w:bCs/>
      <w:sz w:val="28"/>
      <w:szCs w:val="28"/>
    </w:rPr>
  </w:style>
  <w:style w:type="paragraph" w:styleId="6">
    <w:name w:val="heading 6"/>
    <w:basedOn w:val="a"/>
    <w:next w:val="a"/>
    <w:link w:val="60"/>
    <w:uiPriority w:val="9"/>
    <w:unhideWhenUsed/>
    <w:qFormat/>
    <w:pPr>
      <w:keepNext/>
      <w:keepLines/>
      <w:numPr>
        <w:ilvl w:val="5"/>
        <w:numId w:val="1"/>
      </w:numPr>
      <w:spacing w:line="360" w:lineRule="auto"/>
      <w:outlineLvl w:val="5"/>
    </w:pPr>
    <w:rPr>
      <w:rFonts w:ascii="Calibri" w:eastAsia="微软雅黑" w:hAnsi="Calibri" w:cs="宋体"/>
      <w:bCs/>
      <w:kern w:val="0"/>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outlineLvl w:val="6"/>
    </w:pPr>
    <w:rPr>
      <w:rFonts w:ascii="Calibri" w:eastAsia="微软雅黑" w:hAnsi="Calibri" w:cs="宋体"/>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outlineLvl w:val="7"/>
    </w:pPr>
    <w:rPr>
      <w:rFonts w:ascii="Calibri" w:eastAsia="宋体" w:hAnsi="Calibri" w:cs="宋体"/>
      <w:sz w:val="24"/>
      <w:szCs w:val="24"/>
    </w:rPr>
  </w:style>
  <w:style w:type="paragraph" w:styleId="9">
    <w:name w:val="heading 9"/>
    <w:basedOn w:val="a"/>
    <w:next w:val="a"/>
    <w:link w:val="90"/>
    <w:uiPriority w:val="9"/>
    <w:unhideWhenUsed/>
    <w:qFormat/>
    <w:pPr>
      <w:keepNext/>
      <w:keepLines/>
      <w:numPr>
        <w:ilvl w:val="8"/>
        <w:numId w:val="1"/>
      </w:numPr>
      <w:spacing w:before="240" w:after="64" w:line="320" w:lineRule="auto"/>
      <w:outlineLvl w:val="8"/>
    </w:pPr>
    <w:rPr>
      <w:rFonts w:ascii="Cambria" w:eastAsia="宋体" w:hAnsi="Cambria"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eastAsia="仿宋"/>
      <w:sz w:val="18"/>
      <w:szCs w:val="18"/>
    </w:rPr>
  </w:style>
  <w:style w:type="character" w:customStyle="1" w:styleId="a4">
    <w:name w:val="页脚 字符"/>
    <w:basedOn w:val="a0"/>
    <w:link w:val="a3"/>
    <w:uiPriority w:val="99"/>
    <w:qFormat/>
    <w:rPr>
      <w:rFonts w:eastAsia="仿宋"/>
      <w:sz w:val="18"/>
      <w:szCs w:val="18"/>
    </w:rPr>
  </w:style>
  <w:style w:type="paragraph" w:styleId="a9">
    <w:name w:val="List Paragraph"/>
    <w:basedOn w:val="a"/>
    <w:uiPriority w:val="34"/>
    <w:qFormat/>
    <w:pPr>
      <w:ind w:firstLineChars="200" w:firstLine="420"/>
    </w:pPr>
  </w:style>
  <w:style w:type="paragraph" w:customStyle="1" w:styleId="11">
    <w:name w:val="列出段落1"/>
    <w:basedOn w:val="a"/>
    <w:uiPriority w:val="34"/>
    <w:qFormat/>
    <w:pPr>
      <w:ind w:firstLineChars="200" w:firstLine="420"/>
    </w:pPr>
    <w:rPr>
      <w:rFonts w:ascii="Times New Roman" w:eastAsia="宋体" w:hAnsi="Times New Roman" w:cs="Times New Roman"/>
      <w:sz w:val="21"/>
      <w:szCs w:val="24"/>
    </w:rPr>
  </w:style>
  <w:style w:type="character" w:customStyle="1" w:styleId="10">
    <w:name w:val="标题 1 字符"/>
    <w:basedOn w:val="a0"/>
    <w:link w:val="1"/>
    <w:qFormat/>
    <w:rPr>
      <w:rFonts w:ascii="Calibri" w:eastAsia="微软雅黑" w:hAnsi="Calibri" w:cs="宋体"/>
      <w:b/>
      <w:bCs/>
      <w:kern w:val="44"/>
      <w:sz w:val="36"/>
      <w:szCs w:val="44"/>
    </w:rPr>
  </w:style>
  <w:style w:type="character" w:customStyle="1" w:styleId="20">
    <w:name w:val="标题 2 字符"/>
    <w:basedOn w:val="a0"/>
    <w:link w:val="2"/>
    <w:qFormat/>
    <w:rPr>
      <w:rFonts w:ascii="Calibri" w:eastAsia="微软雅黑" w:hAnsi="Calibri" w:cs="宋体"/>
      <w:bCs/>
      <w:sz w:val="32"/>
      <w:szCs w:val="32"/>
    </w:rPr>
  </w:style>
  <w:style w:type="character" w:customStyle="1" w:styleId="30">
    <w:name w:val="标题 3 字符"/>
    <w:basedOn w:val="a0"/>
    <w:link w:val="3"/>
    <w:qFormat/>
    <w:rPr>
      <w:rFonts w:ascii="Calibri" w:eastAsia="微软雅黑" w:hAnsi="Calibri" w:cs="宋体"/>
      <w:bCs/>
      <w:sz w:val="30"/>
      <w:szCs w:val="32"/>
    </w:rPr>
  </w:style>
  <w:style w:type="character" w:customStyle="1" w:styleId="40">
    <w:name w:val="标题 4 字符"/>
    <w:basedOn w:val="a0"/>
    <w:link w:val="4"/>
    <w:qFormat/>
    <w:rPr>
      <w:rFonts w:ascii="Calibri" w:eastAsia="微软雅黑" w:hAnsi="Calibri" w:cs="宋体"/>
      <w:bCs/>
      <w:sz w:val="28"/>
      <w:szCs w:val="28"/>
    </w:rPr>
  </w:style>
  <w:style w:type="character" w:customStyle="1" w:styleId="50">
    <w:name w:val="标题 5 字符"/>
    <w:basedOn w:val="a0"/>
    <w:link w:val="5"/>
    <w:qFormat/>
    <w:rPr>
      <w:rFonts w:ascii="Calibri" w:eastAsia="微软雅黑" w:hAnsi="Calibri" w:cs="宋体"/>
      <w:bCs/>
      <w:sz w:val="28"/>
      <w:szCs w:val="28"/>
    </w:rPr>
  </w:style>
  <w:style w:type="character" w:customStyle="1" w:styleId="60">
    <w:name w:val="标题 6 字符"/>
    <w:basedOn w:val="a0"/>
    <w:link w:val="6"/>
    <w:uiPriority w:val="9"/>
    <w:qFormat/>
    <w:rPr>
      <w:rFonts w:ascii="Calibri" w:eastAsia="微软雅黑" w:hAnsi="Calibri" w:cs="宋体"/>
      <w:bCs/>
      <w:kern w:val="0"/>
      <w:sz w:val="24"/>
      <w:szCs w:val="24"/>
    </w:rPr>
  </w:style>
  <w:style w:type="character" w:customStyle="1" w:styleId="70">
    <w:name w:val="标题 7 字符"/>
    <w:basedOn w:val="a0"/>
    <w:link w:val="7"/>
    <w:uiPriority w:val="9"/>
    <w:qFormat/>
    <w:rPr>
      <w:rFonts w:ascii="Calibri" w:eastAsia="微软雅黑" w:hAnsi="Calibri" w:cs="宋体"/>
      <w:bCs/>
      <w:sz w:val="24"/>
      <w:szCs w:val="24"/>
    </w:rPr>
  </w:style>
  <w:style w:type="character" w:customStyle="1" w:styleId="80">
    <w:name w:val="标题 8 字符"/>
    <w:basedOn w:val="a0"/>
    <w:link w:val="8"/>
    <w:uiPriority w:val="9"/>
    <w:qFormat/>
    <w:rPr>
      <w:rFonts w:ascii="Calibri" w:eastAsia="宋体" w:hAnsi="Calibri" w:cs="宋体"/>
      <w:sz w:val="24"/>
      <w:szCs w:val="24"/>
    </w:rPr>
  </w:style>
  <w:style w:type="character" w:customStyle="1" w:styleId="90">
    <w:name w:val="标题 9 字符"/>
    <w:basedOn w:val="a0"/>
    <w:link w:val="9"/>
    <w:uiPriority w:val="9"/>
    <w:qFormat/>
    <w:rPr>
      <w:rFonts w:ascii="Cambria" w:eastAsia="宋体" w:hAnsi="Cambria" w:cs="宋体"/>
      <w:szCs w:val="21"/>
    </w:rPr>
  </w:style>
  <w:style w:type="character" w:customStyle="1" w:styleId="a00">
    <w:name w:val="a0"/>
    <w:basedOn w:val="a0"/>
    <w:qFormat/>
  </w:style>
  <w:style w:type="paragraph" w:customStyle="1" w:styleId="a30">
    <w:name w:val="a3"/>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110</Words>
  <Characters>630</Characters>
  <Application>Microsoft Office Word</Application>
  <DocSecurity>0</DocSecurity>
  <Lines>5</Lines>
  <Paragraphs>1</Paragraphs>
  <ScaleCrop>false</ScaleCrop>
  <Company>Lenovo</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张梅</cp:lastModifiedBy>
  <cp:revision>69</cp:revision>
  <dcterms:created xsi:type="dcterms:W3CDTF">2017-03-27T06:18:00Z</dcterms:created>
  <dcterms:modified xsi:type="dcterms:W3CDTF">2025-08-21T06:56:00Z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4946E1EC1E9C4880AB71BC870711FF14</vt:lpwstr>
  </property>
</Properties>
</file>