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46DC">
      <w:pPr>
        <w:tabs>
          <w:tab w:val="left" w:pos="360"/>
          <w:tab w:val="left" w:pos="1800"/>
        </w:tabs>
        <w:jc w:val="center"/>
        <w:outlineLvl w:val="1"/>
        <w:rPr>
          <w:rFonts w:ascii="宋体" w:hAnsi="宋体"/>
          <w:b/>
          <w:bCs/>
          <w:color w:val="000000"/>
          <w:sz w:val="24"/>
          <w:szCs w:val="24"/>
        </w:rPr>
      </w:pPr>
      <w:bookmarkStart w:id="0" w:name="_Toc8057063"/>
      <w:bookmarkStart w:id="1" w:name="_Toc33536006"/>
      <w:r>
        <w:rPr>
          <w:rFonts w:hint="eastAsia" w:ascii="宋体" w:hAnsi="宋体"/>
          <w:b/>
          <w:bCs/>
          <w:color w:val="000000"/>
          <w:sz w:val="24"/>
          <w:szCs w:val="24"/>
        </w:rPr>
        <w:t>评分细则</w:t>
      </w:r>
      <w:bookmarkEnd w:id="0"/>
      <w:bookmarkEnd w:id="1"/>
    </w:p>
    <w:p w14:paraId="642B1CC1">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本项目的评审采用</w:t>
      </w:r>
      <w:r>
        <w:rPr>
          <w:rFonts w:hint="eastAsia" w:ascii="宋体" w:hAnsi="宋体" w:cs="宋体"/>
          <w:color w:val="000000"/>
          <w:sz w:val="24"/>
          <w:szCs w:val="24"/>
        </w:rPr>
        <w:t>综合评分法</w:t>
      </w:r>
      <w:r>
        <w:rPr>
          <w:rFonts w:hint="eastAsia" w:ascii="宋体" w:hAnsi="宋体"/>
          <w:bCs/>
          <w:color w:val="000000"/>
          <w:sz w:val="24"/>
          <w:szCs w:val="24"/>
        </w:rPr>
        <w:t>，</w:t>
      </w:r>
      <w:r>
        <w:rPr>
          <w:rFonts w:hint="eastAsia" w:ascii="宋体" w:hAnsi="宋体"/>
          <w:color w:val="000000"/>
          <w:sz w:val="24"/>
          <w:szCs w:val="24"/>
        </w:rPr>
        <w:t>总分</w:t>
      </w:r>
      <w:r>
        <w:rPr>
          <w:rFonts w:ascii="宋体" w:hAnsi="宋体"/>
          <w:color w:val="000000"/>
          <w:sz w:val="24"/>
          <w:szCs w:val="24"/>
        </w:rPr>
        <w:t>100</w:t>
      </w:r>
      <w:r>
        <w:rPr>
          <w:rFonts w:hint="eastAsia" w:ascii="宋体" w:hAnsi="宋体"/>
          <w:color w:val="000000"/>
          <w:sz w:val="24"/>
          <w:szCs w:val="24"/>
        </w:rPr>
        <w:t>分，其中技术标权数9</w:t>
      </w:r>
      <w:r>
        <w:rPr>
          <w:rFonts w:ascii="宋体" w:hAnsi="宋体"/>
          <w:color w:val="000000"/>
          <w:sz w:val="24"/>
          <w:szCs w:val="24"/>
        </w:rPr>
        <w:t>0</w:t>
      </w:r>
      <w:r>
        <w:rPr>
          <w:rFonts w:hint="eastAsia" w:ascii="宋体" w:hAnsi="宋体"/>
          <w:color w:val="000000"/>
          <w:sz w:val="24"/>
          <w:szCs w:val="24"/>
        </w:rPr>
        <w:t>％，商务标权数为1</w:t>
      </w:r>
      <w:r>
        <w:rPr>
          <w:rFonts w:ascii="宋体" w:hAnsi="宋体"/>
          <w:color w:val="000000"/>
          <w:sz w:val="24"/>
          <w:szCs w:val="24"/>
        </w:rPr>
        <w:t>0</w:t>
      </w:r>
      <w:r>
        <w:rPr>
          <w:rFonts w:hint="eastAsia" w:ascii="宋体" w:hAnsi="宋体"/>
          <w:color w:val="000000"/>
          <w:sz w:val="24"/>
          <w:szCs w:val="24"/>
        </w:rPr>
        <w:t>％。</w:t>
      </w:r>
    </w:p>
    <w:p w14:paraId="7095CB65">
      <w:pPr>
        <w:pStyle w:val="10"/>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1410"/>
        <w:gridCol w:w="5856"/>
        <w:gridCol w:w="898"/>
      </w:tblGrid>
      <w:tr w14:paraId="43E1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969" w:type="dxa"/>
            <w:vAlign w:val="center"/>
          </w:tcPr>
          <w:p w14:paraId="73A6B700">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1410" w:type="dxa"/>
            <w:vAlign w:val="center"/>
          </w:tcPr>
          <w:p w14:paraId="7F6C094A">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评审因素</w:t>
            </w:r>
          </w:p>
        </w:tc>
        <w:tc>
          <w:tcPr>
            <w:tcW w:w="5856" w:type="dxa"/>
            <w:vAlign w:val="center"/>
          </w:tcPr>
          <w:p w14:paraId="758D5789">
            <w:pPr>
              <w:widowControl/>
              <w:snapToGrid w:val="0"/>
              <w:jc w:val="left"/>
              <w:rPr>
                <w:rFonts w:ascii="宋体" w:hAnsi="宋体" w:cs="宋体"/>
                <w:bCs/>
                <w:color w:val="000000"/>
                <w:kern w:val="0"/>
                <w:szCs w:val="21"/>
              </w:rPr>
            </w:pPr>
            <w:r>
              <w:rPr>
                <w:rFonts w:hint="eastAsia" w:ascii="宋体" w:hAnsi="宋体" w:cs="宋体"/>
                <w:bCs/>
                <w:color w:val="000000"/>
                <w:kern w:val="0"/>
                <w:szCs w:val="21"/>
              </w:rPr>
              <w:t>评分说明</w:t>
            </w:r>
          </w:p>
        </w:tc>
        <w:tc>
          <w:tcPr>
            <w:tcW w:w="898" w:type="dxa"/>
            <w:vAlign w:val="center"/>
          </w:tcPr>
          <w:p w14:paraId="39C6ED3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分值</w:t>
            </w:r>
          </w:p>
        </w:tc>
      </w:tr>
      <w:tr w14:paraId="4C68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969" w:type="dxa"/>
            <w:vAlign w:val="center"/>
          </w:tcPr>
          <w:p w14:paraId="3344E2D5">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1</w:t>
            </w:r>
          </w:p>
        </w:tc>
        <w:tc>
          <w:tcPr>
            <w:tcW w:w="1410" w:type="dxa"/>
            <w:vAlign w:val="center"/>
          </w:tcPr>
          <w:p w14:paraId="3FFE3DD1">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报价得分</w:t>
            </w:r>
          </w:p>
        </w:tc>
        <w:tc>
          <w:tcPr>
            <w:tcW w:w="5856" w:type="dxa"/>
            <w:vAlign w:val="center"/>
          </w:tcPr>
          <w:p w14:paraId="3690B2A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报价得分＝1</w:t>
            </w:r>
            <w:r>
              <w:rPr>
                <w:rFonts w:ascii="宋体" w:hAnsi="宋体" w:cs="宋体"/>
                <w:bCs/>
                <w:color w:val="000000"/>
                <w:kern w:val="0"/>
                <w:szCs w:val="21"/>
              </w:rPr>
              <w:t>0</w:t>
            </w:r>
            <w:r>
              <w:rPr>
                <w:rFonts w:hint="eastAsia" w:ascii="宋体" w:hAnsi="宋体" w:cs="宋体"/>
                <w:bCs/>
                <w:color w:val="000000"/>
                <w:kern w:val="0"/>
                <w:szCs w:val="21"/>
              </w:rPr>
              <w:t>分×（评标基准价/评审价）</w:t>
            </w:r>
          </w:p>
          <w:p w14:paraId="42D50A0F">
            <w:pPr>
              <w:widowControl/>
              <w:snapToGrid w:val="0"/>
              <w:jc w:val="left"/>
              <w:rPr>
                <w:rFonts w:ascii="宋体" w:hAnsi="宋体" w:cs="宋体"/>
                <w:bCs/>
                <w:color w:val="000000"/>
                <w:kern w:val="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753ED3A">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773DE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969" w:type="dxa"/>
            <w:vAlign w:val="center"/>
          </w:tcPr>
          <w:p w14:paraId="3B21B5B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2</w:t>
            </w:r>
          </w:p>
        </w:tc>
        <w:tc>
          <w:tcPr>
            <w:tcW w:w="1410" w:type="dxa"/>
            <w:vAlign w:val="center"/>
          </w:tcPr>
          <w:p w14:paraId="6258A92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服务方案</w:t>
            </w:r>
          </w:p>
        </w:tc>
        <w:tc>
          <w:tcPr>
            <w:tcW w:w="5856" w:type="dxa"/>
            <w:vAlign w:val="center"/>
          </w:tcPr>
          <w:p w14:paraId="26034091">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D08E651">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77F76092">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D8C1017">
            <w:pPr>
              <w:tabs>
                <w:tab w:val="left" w:pos="480"/>
              </w:tabs>
              <w:rPr>
                <w:rFonts w:hint="eastAsia" w:ascii="宋体" w:hAnsi="宋体" w:cs="宋体"/>
                <w:bCs/>
                <w:color w:val="000000"/>
                <w:kern w:val="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2FACDC4D">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w:t>
            </w:r>
            <w:r>
              <w:rPr>
                <w:rFonts w:hint="eastAsia" w:ascii="宋体" w:hAnsi="宋体" w:cs="宋体"/>
                <w:bCs/>
                <w:color w:val="000000"/>
                <w:kern w:val="0"/>
                <w:szCs w:val="21"/>
                <w:lang w:val="en-US" w:eastAsia="zh-CN"/>
              </w:rPr>
              <w:t>3</w:t>
            </w:r>
            <w:r>
              <w:rPr>
                <w:rFonts w:hint="eastAsia" w:ascii="宋体" w:hAnsi="宋体" w:cs="宋体"/>
                <w:bCs/>
                <w:color w:val="000000"/>
                <w:kern w:val="0"/>
                <w:szCs w:val="21"/>
              </w:rPr>
              <w:t>0分</w:t>
            </w:r>
          </w:p>
        </w:tc>
      </w:tr>
      <w:tr w14:paraId="1863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69" w:type="dxa"/>
            <w:vAlign w:val="center"/>
          </w:tcPr>
          <w:p w14:paraId="231769CF">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3</w:t>
            </w:r>
          </w:p>
        </w:tc>
        <w:tc>
          <w:tcPr>
            <w:tcW w:w="1410" w:type="dxa"/>
            <w:vAlign w:val="center"/>
          </w:tcPr>
          <w:p w14:paraId="303D1E51">
            <w:pPr>
              <w:widowControl/>
              <w:snapToGrid w:val="0"/>
              <w:jc w:val="center"/>
              <w:rPr>
                <w:rFonts w:ascii="宋体" w:hAnsi="宋体" w:cs="宋体"/>
                <w:bCs/>
                <w:color w:val="000000"/>
                <w:kern w:val="0"/>
                <w:szCs w:val="21"/>
              </w:rPr>
            </w:pPr>
            <w:r>
              <w:rPr>
                <w:rFonts w:ascii="宋体" w:hAnsi="宋体" w:cs="宋体"/>
                <w:bCs/>
                <w:color w:val="000000"/>
                <w:kern w:val="0"/>
                <w:szCs w:val="21"/>
              </w:rPr>
              <w:t>企业综合实力</w:t>
            </w:r>
          </w:p>
        </w:tc>
        <w:tc>
          <w:tcPr>
            <w:tcW w:w="5856" w:type="dxa"/>
            <w:vAlign w:val="center"/>
          </w:tcPr>
          <w:p w14:paraId="011F87A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根据投标人技术力量、综合服务能力、相关荣誉、公司诚信等进行综合评价。综合优秀的得</w:t>
            </w:r>
            <w:r>
              <w:rPr>
                <w:rFonts w:hint="eastAsia" w:ascii="宋体" w:hAnsi="宋体" w:cs="宋体"/>
                <w:bCs/>
                <w:color w:val="000000"/>
                <w:kern w:val="0"/>
                <w:szCs w:val="21"/>
                <w:lang w:val="en-US" w:eastAsia="zh-CN"/>
              </w:rPr>
              <w:t>8-10分</w:t>
            </w:r>
            <w:r>
              <w:rPr>
                <w:rFonts w:hint="eastAsia" w:ascii="宋体" w:hAnsi="宋体" w:cs="宋体"/>
                <w:bCs/>
                <w:color w:val="000000"/>
                <w:kern w:val="0"/>
                <w:szCs w:val="21"/>
              </w:rPr>
              <w:t>，较好的得</w:t>
            </w:r>
            <w:r>
              <w:rPr>
                <w:rFonts w:hint="eastAsia" w:ascii="宋体" w:hAnsi="宋体" w:cs="宋体"/>
                <w:bCs/>
                <w:color w:val="000000"/>
                <w:kern w:val="0"/>
                <w:szCs w:val="21"/>
                <w:lang w:val="en-US" w:eastAsia="zh-CN"/>
              </w:rPr>
              <w:t>5-7分</w:t>
            </w:r>
            <w:r>
              <w:rPr>
                <w:rFonts w:hint="eastAsia" w:ascii="宋体" w:hAnsi="宋体" w:cs="宋体"/>
                <w:bCs/>
                <w:color w:val="000000"/>
                <w:kern w:val="0"/>
                <w:szCs w:val="21"/>
              </w:rPr>
              <w:t>，一般的得</w:t>
            </w:r>
            <w:r>
              <w:rPr>
                <w:rFonts w:hint="eastAsia" w:ascii="宋体" w:hAnsi="宋体" w:cs="宋体"/>
                <w:bCs/>
                <w:color w:val="000000"/>
                <w:kern w:val="0"/>
                <w:szCs w:val="21"/>
                <w:lang w:val="en-US" w:eastAsia="zh-CN"/>
              </w:rPr>
              <w:t>0-4分</w:t>
            </w:r>
            <w:r>
              <w:rPr>
                <w:rFonts w:hint="eastAsia" w:ascii="宋体" w:hAnsi="宋体" w:cs="宋体"/>
                <w:bCs/>
                <w:color w:val="000000"/>
                <w:kern w:val="0"/>
                <w:szCs w:val="21"/>
              </w:rPr>
              <w:t>。</w:t>
            </w:r>
            <w:r>
              <w:rPr>
                <w:rFonts w:ascii="宋体" w:hAnsi="宋体" w:cs="宋体"/>
                <w:bCs/>
                <w:color w:val="000000"/>
                <w:kern w:val="0"/>
                <w:szCs w:val="21"/>
              </w:rPr>
              <w:t xml:space="preserve"> </w:t>
            </w:r>
          </w:p>
        </w:tc>
        <w:tc>
          <w:tcPr>
            <w:tcW w:w="898" w:type="dxa"/>
            <w:vAlign w:val="center"/>
          </w:tcPr>
          <w:p w14:paraId="3EDDA48D">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4B89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atLeast"/>
        </w:trPr>
        <w:tc>
          <w:tcPr>
            <w:tcW w:w="969" w:type="dxa"/>
            <w:vAlign w:val="center"/>
          </w:tcPr>
          <w:p w14:paraId="2A8BAF42">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4</w:t>
            </w:r>
          </w:p>
        </w:tc>
        <w:tc>
          <w:tcPr>
            <w:tcW w:w="1410" w:type="dxa"/>
            <w:vAlign w:val="center"/>
          </w:tcPr>
          <w:p w14:paraId="7399C28F">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人员配备</w:t>
            </w:r>
          </w:p>
        </w:tc>
        <w:tc>
          <w:tcPr>
            <w:tcW w:w="5856" w:type="dxa"/>
            <w:vAlign w:val="top"/>
          </w:tcPr>
          <w:p w14:paraId="5B733D02">
            <w:pPr>
              <w:jc w:val="left"/>
              <w:rPr>
                <w:rFonts w:ascii="宋体" w:hAnsi="宋体" w:cs="宋体"/>
                <w:bCs/>
                <w:color w:val="000000"/>
                <w:kern w:val="0"/>
                <w:szCs w:val="21"/>
              </w:rPr>
            </w:pPr>
            <w:r>
              <w:rPr>
                <w:rFonts w:hint="eastAsia" w:ascii="宋体" w:hAnsi="宋体" w:cs="宋体"/>
                <w:bCs/>
                <w:color w:val="000000"/>
                <w:kern w:val="0"/>
                <w:szCs w:val="21"/>
              </w:rPr>
              <w:t>根据项目负责人的资历资格，相关领域技术水平，类似项目经验情况，以及项目组人员的数量、专业、资历情况，是否具有类似项目经验、相关领域工作经验、相关证书配备是否齐全等情况，进行综合打分。综合优秀的得16-20分，较好的得11-15分，一般得0-10分。</w:t>
            </w:r>
          </w:p>
        </w:tc>
        <w:tc>
          <w:tcPr>
            <w:tcW w:w="898" w:type="dxa"/>
            <w:vAlign w:val="center"/>
          </w:tcPr>
          <w:p w14:paraId="735C2557">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w:t>
            </w:r>
            <w:r>
              <w:rPr>
                <w:rFonts w:hint="eastAsia" w:ascii="宋体" w:hAnsi="宋体" w:cs="宋体"/>
                <w:bCs/>
                <w:color w:val="000000"/>
                <w:kern w:val="0"/>
                <w:szCs w:val="21"/>
                <w:lang w:val="en-US" w:eastAsia="zh-CN"/>
              </w:rPr>
              <w:t>2</w:t>
            </w:r>
            <w:r>
              <w:rPr>
                <w:rFonts w:hint="eastAsia" w:ascii="宋体" w:hAnsi="宋体" w:cs="宋体"/>
                <w:bCs/>
                <w:color w:val="000000"/>
                <w:kern w:val="0"/>
                <w:szCs w:val="21"/>
              </w:rPr>
              <w:t>0分</w:t>
            </w:r>
          </w:p>
        </w:tc>
      </w:tr>
      <w:tr w14:paraId="217A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969" w:type="dxa"/>
            <w:vAlign w:val="center"/>
          </w:tcPr>
          <w:p w14:paraId="3EF5EFBB">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5</w:t>
            </w:r>
          </w:p>
        </w:tc>
        <w:tc>
          <w:tcPr>
            <w:tcW w:w="1410" w:type="dxa"/>
            <w:vAlign w:val="center"/>
          </w:tcPr>
          <w:p w14:paraId="5EDE3F5E">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类似服务经验</w:t>
            </w:r>
          </w:p>
        </w:tc>
        <w:tc>
          <w:tcPr>
            <w:tcW w:w="5856" w:type="dxa"/>
            <w:vAlign w:val="center"/>
          </w:tcPr>
          <w:p w14:paraId="40E7934B">
            <w:pPr>
              <w:rPr>
                <w:rFonts w:ascii="宋体" w:hAnsi="宋体" w:cs="宋体"/>
                <w:bCs/>
                <w:color w:val="000000"/>
              </w:rPr>
            </w:pPr>
            <w:r>
              <w:rPr>
                <w:rFonts w:hint="eastAsia" w:ascii="宋体" w:hAnsi="宋体" w:cs="宋体"/>
                <w:bCs/>
                <w:color w:val="000000"/>
              </w:rPr>
              <w:t>根据</w:t>
            </w:r>
            <w:r>
              <w:rPr>
                <w:rFonts w:hint="eastAsia" w:ascii="宋体" w:hAnsi="宋体" w:cs="宋体"/>
                <w:bCs/>
                <w:color w:val="000000"/>
                <w:kern w:val="0"/>
                <w:szCs w:val="21"/>
                <w:lang w:eastAsia="zh-CN"/>
              </w:rPr>
              <w:t>投标人</w:t>
            </w:r>
            <w:r>
              <w:rPr>
                <w:rFonts w:hint="eastAsia" w:ascii="宋体" w:hAnsi="宋体" w:cs="宋体"/>
                <w:bCs/>
                <w:color w:val="000000"/>
              </w:rPr>
              <w:t>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58BA0352">
            <w:pPr>
              <w:widowControl/>
              <w:snapToGrid w:val="0"/>
              <w:jc w:val="left"/>
              <w:rPr>
                <w:rFonts w:ascii="宋体" w:hAnsi="宋体" w:cs="宋体"/>
                <w:bCs/>
                <w:color w:val="000000"/>
                <w:kern w:val="0"/>
                <w:szCs w:val="21"/>
              </w:rPr>
            </w:pPr>
            <w:r>
              <w:rPr>
                <w:rFonts w:hint="eastAsia" w:ascii="宋体" w:hAnsi="宋体" w:cs="宋体"/>
                <w:bCs/>
                <w:color w:val="000000"/>
              </w:rPr>
              <w:t>（提供合同复印件盖章为准）</w:t>
            </w:r>
            <w:r>
              <w:rPr>
                <w:rFonts w:hint="eastAsia" w:ascii="宋体" w:hAnsi="宋体" w:cs="宋体"/>
                <w:bCs/>
                <w:color w:val="000000"/>
                <w:kern w:val="0"/>
                <w:szCs w:val="21"/>
              </w:rPr>
              <w:t>。</w:t>
            </w:r>
          </w:p>
        </w:tc>
        <w:tc>
          <w:tcPr>
            <w:tcW w:w="898" w:type="dxa"/>
            <w:vAlign w:val="center"/>
          </w:tcPr>
          <w:p w14:paraId="6B3CA2FC">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r w14:paraId="6212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969" w:type="dxa"/>
            <w:vAlign w:val="center"/>
          </w:tcPr>
          <w:p w14:paraId="23692595">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6</w:t>
            </w:r>
          </w:p>
        </w:tc>
        <w:tc>
          <w:tcPr>
            <w:tcW w:w="1410" w:type="dxa"/>
            <w:vAlign w:val="center"/>
          </w:tcPr>
          <w:p w14:paraId="02D7C6F3">
            <w:pPr>
              <w:widowControl/>
              <w:snapToGrid w:val="0"/>
              <w:jc w:val="center"/>
              <w:rPr>
                <w:rFonts w:hint="eastAsia" w:ascii="宋体" w:hAnsi="宋体" w:cs="宋体"/>
                <w:bCs/>
                <w:color w:val="000000"/>
                <w:kern w:val="0"/>
                <w:szCs w:val="21"/>
              </w:rPr>
            </w:pPr>
            <w:r>
              <w:rPr>
                <w:rFonts w:hint="eastAsia" w:ascii="宋体" w:hAnsi="宋体" w:cs="宋体"/>
                <w:bCs/>
                <w:color w:val="000000"/>
                <w:kern w:val="0"/>
                <w:szCs w:val="21"/>
              </w:rPr>
              <w:t>质量保证措施及承诺</w:t>
            </w:r>
          </w:p>
        </w:tc>
        <w:tc>
          <w:tcPr>
            <w:tcW w:w="5856" w:type="dxa"/>
            <w:vAlign w:val="center"/>
          </w:tcPr>
          <w:p w14:paraId="4037EC98">
            <w:pPr>
              <w:widowControl/>
              <w:snapToGrid w:val="0"/>
              <w:jc w:val="left"/>
              <w:rPr>
                <w:rFonts w:hint="eastAsia" w:ascii="宋体" w:hAnsi="宋体" w:cs="宋体"/>
                <w:bCs/>
                <w:color w:val="000000"/>
                <w:kern w:val="0"/>
                <w:szCs w:val="21"/>
              </w:rPr>
            </w:pPr>
            <w:r>
              <w:rPr>
                <w:rFonts w:hint="eastAsia" w:ascii="宋体" w:hAnsi="宋体" w:cs="宋体"/>
                <w:bCs/>
                <w:color w:val="000000"/>
                <w:kern w:val="0"/>
                <w:szCs w:val="21"/>
              </w:rPr>
              <w:t>质量保证措施：投标人具有完善的质量管理体系和内部安全管理流程，能提供明确的质量目标和详细的质量保证计划，进行综合打分，综合优秀的得</w:t>
            </w:r>
            <w:r>
              <w:rPr>
                <w:rFonts w:hint="eastAsia" w:ascii="宋体" w:hAnsi="宋体" w:cs="宋体"/>
                <w:bCs/>
                <w:color w:val="000000"/>
                <w:kern w:val="0"/>
                <w:szCs w:val="21"/>
                <w:lang w:val="en-US" w:eastAsia="zh-CN"/>
              </w:rPr>
              <w:t>8-10分</w:t>
            </w:r>
            <w:r>
              <w:rPr>
                <w:rFonts w:hint="eastAsia" w:ascii="宋体" w:hAnsi="宋体" w:cs="宋体"/>
                <w:bCs/>
                <w:color w:val="000000"/>
                <w:kern w:val="0"/>
                <w:szCs w:val="21"/>
              </w:rPr>
              <w:t>，较好的得</w:t>
            </w:r>
            <w:r>
              <w:rPr>
                <w:rFonts w:hint="eastAsia" w:ascii="宋体" w:hAnsi="宋体" w:cs="宋体"/>
                <w:bCs/>
                <w:color w:val="000000"/>
                <w:kern w:val="0"/>
                <w:szCs w:val="21"/>
                <w:lang w:val="en-US" w:eastAsia="zh-CN"/>
              </w:rPr>
              <w:t>5-7分</w:t>
            </w:r>
            <w:r>
              <w:rPr>
                <w:rFonts w:hint="eastAsia" w:ascii="宋体" w:hAnsi="宋体" w:cs="宋体"/>
                <w:bCs/>
                <w:color w:val="000000"/>
                <w:kern w:val="0"/>
                <w:szCs w:val="21"/>
              </w:rPr>
              <w:t>，一般的得</w:t>
            </w:r>
            <w:r>
              <w:rPr>
                <w:rFonts w:hint="eastAsia" w:ascii="宋体" w:hAnsi="宋体" w:cs="宋体"/>
                <w:bCs/>
                <w:color w:val="000000"/>
                <w:kern w:val="0"/>
                <w:szCs w:val="21"/>
                <w:lang w:val="en-US" w:eastAsia="zh-CN"/>
              </w:rPr>
              <w:t>0-4分</w:t>
            </w:r>
            <w:r>
              <w:rPr>
                <w:rFonts w:hint="eastAsia" w:ascii="宋体" w:hAnsi="宋体" w:cs="宋体"/>
                <w:bCs/>
                <w:color w:val="000000"/>
                <w:kern w:val="0"/>
                <w:szCs w:val="21"/>
              </w:rPr>
              <w:t>。</w:t>
            </w:r>
            <w:r>
              <w:rPr>
                <w:rFonts w:ascii="宋体" w:hAnsi="宋体" w:cs="宋体"/>
                <w:bCs/>
                <w:color w:val="000000"/>
                <w:kern w:val="0"/>
                <w:szCs w:val="21"/>
              </w:rPr>
              <w:t xml:space="preserve"> </w:t>
            </w:r>
          </w:p>
        </w:tc>
        <w:tc>
          <w:tcPr>
            <w:tcW w:w="898" w:type="dxa"/>
            <w:vAlign w:val="center"/>
          </w:tcPr>
          <w:p w14:paraId="5B5A6D0F">
            <w:pPr>
              <w:jc w:val="center"/>
              <w:rPr>
                <w:rFonts w:ascii="宋体" w:hAnsi="宋体" w:cs="宋体"/>
                <w:bCs/>
                <w:color w:val="000000"/>
                <w:kern w:val="0"/>
                <w:szCs w:val="21"/>
              </w:rPr>
            </w:pPr>
            <w:r>
              <w:rPr>
                <w:rFonts w:hint="eastAsia" w:ascii="宋体" w:hAnsi="宋体" w:cs="宋体"/>
                <w:bCs/>
                <w:color w:val="000000"/>
                <w:kern w:val="0"/>
                <w:szCs w:val="21"/>
              </w:rPr>
              <w:t>0-10分</w:t>
            </w:r>
          </w:p>
        </w:tc>
      </w:tr>
      <w:tr w14:paraId="0954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969" w:type="dxa"/>
            <w:vAlign w:val="center"/>
          </w:tcPr>
          <w:p w14:paraId="39275BE1">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7</w:t>
            </w:r>
          </w:p>
        </w:tc>
        <w:tc>
          <w:tcPr>
            <w:tcW w:w="1410" w:type="dxa"/>
            <w:vAlign w:val="center"/>
          </w:tcPr>
          <w:p w14:paraId="3C2B95B2">
            <w:pPr>
              <w:widowControl/>
              <w:snapToGrid w:val="0"/>
              <w:jc w:val="center"/>
              <w:rPr>
                <w:rFonts w:ascii="宋体" w:hAnsi="宋体" w:cs="宋体"/>
                <w:bCs/>
                <w:color w:val="000000"/>
                <w:kern w:val="0"/>
                <w:szCs w:val="21"/>
              </w:rPr>
            </w:pPr>
            <w:r>
              <w:rPr>
                <w:rFonts w:hint="eastAsia" w:ascii="宋体" w:hAnsi="宋体" w:cs="宋体"/>
                <w:bCs/>
                <w:color w:val="000000"/>
                <w:kern w:val="0"/>
                <w:szCs w:val="21"/>
              </w:rPr>
              <w:t>售后服务</w:t>
            </w:r>
          </w:p>
        </w:tc>
        <w:tc>
          <w:tcPr>
            <w:tcW w:w="5856" w:type="dxa"/>
            <w:vAlign w:val="center"/>
          </w:tcPr>
          <w:p w14:paraId="5598905E">
            <w:pPr>
              <w:widowControl/>
              <w:snapToGrid w:val="0"/>
              <w:jc w:val="left"/>
              <w:rPr>
                <w:rFonts w:ascii="宋体" w:hAnsi="宋体" w:cs="宋体"/>
                <w:bCs/>
                <w:color w:val="000000"/>
                <w:kern w:val="0"/>
                <w:szCs w:val="21"/>
              </w:rPr>
            </w:pPr>
            <w:r>
              <w:rPr>
                <w:rFonts w:hint="eastAsia" w:ascii="宋体" w:hAnsi="宋体" w:cs="宋体"/>
                <w:bCs/>
                <w:color w:val="000000"/>
                <w:kern w:val="0"/>
                <w:szCs w:val="21"/>
              </w:rPr>
              <w:t>对本项目售后服务的完善程度，服务响应时间是否及时，包含服务响应、联系方式、响应时间、响应措施、合理化建议、重大问题迅速反应并增加工作人员等进行综合评审。综合优秀的得</w:t>
            </w:r>
            <w:r>
              <w:rPr>
                <w:rFonts w:hint="eastAsia" w:ascii="宋体" w:hAnsi="宋体" w:cs="宋体"/>
                <w:bCs/>
                <w:color w:val="000000"/>
                <w:kern w:val="0"/>
                <w:szCs w:val="21"/>
                <w:lang w:val="en-US" w:eastAsia="zh-CN"/>
              </w:rPr>
              <w:t>8-10分</w:t>
            </w:r>
            <w:r>
              <w:rPr>
                <w:rFonts w:hint="eastAsia" w:ascii="宋体" w:hAnsi="宋体" w:cs="宋体"/>
                <w:bCs/>
                <w:color w:val="000000"/>
                <w:kern w:val="0"/>
                <w:szCs w:val="21"/>
              </w:rPr>
              <w:t>，较好的得</w:t>
            </w:r>
            <w:r>
              <w:rPr>
                <w:rFonts w:hint="eastAsia" w:ascii="宋体" w:hAnsi="宋体" w:cs="宋体"/>
                <w:bCs/>
                <w:color w:val="000000"/>
                <w:kern w:val="0"/>
                <w:szCs w:val="21"/>
                <w:lang w:val="en-US" w:eastAsia="zh-CN"/>
              </w:rPr>
              <w:t>5-7分</w:t>
            </w:r>
            <w:r>
              <w:rPr>
                <w:rFonts w:hint="eastAsia" w:ascii="宋体" w:hAnsi="宋体" w:cs="宋体"/>
                <w:bCs/>
                <w:color w:val="000000"/>
                <w:kern w:val="0"/>
                <w:szCs w:val="21"/>
              </w:rPr>
              <w:t>，一般的得</w:t>
            </w:r>
            <w:r>
              <w:rPr>
                <w:rFonts w:hint="eastAsia" w:ascii="宋体" w:hAnsi="宋体" w:cs="宋体"/>
                <w:bCs/>
                <w:color w:val="000000"/>
                <w:kern w:val="0"/>
                <w:szCs w:val="21"/>
                <w:lang w:val="en-US" w:eastAsia="zh-CN"/>
              </w:rPr>
              <w:t>0-4分</w:t>
            </w:r>
            <w:r>
              <w:rPr>
                <w:rFonts w:hint="eastAsia" w:ascii="宋体" w:hAnsi="宋体" w:cs="宋体"/>
                <w:bCs/>
                <w:color w:val="000000"/>
                <w:kern w:val="0"/>
                <w:szCs w:val="21"/>
              </w:rPr>
              <w:t>。</w:t>
            </w:r>
            <w:r>
              <w:rPr>
                <w:rFonts w:ascii="宋体" w:hAnsi="宋体" w:cs="宋体"/>
                <w:bCs/>
                <w:color w:val="000000"/>
                <w:kern w:val="0"/>
                <w:szCs w:val="21"/>
              </w:rPr>
              <w:t xml:space="preserve"> </w:t>
            </w:r>
            <w:bookmarkStart w:id="2" w:name="_GoBack"/>
            <w:bookmarkEnd w:id="2"/>
          </w:p>
        </w:tc>
        <w:tc>
          <w:tcPr>
            <w:tcW w:w="898" w:type="dxa"/>
            <w:vAlign w:val="center"/>
          </w:tcPr>
          <w:p w14:paraId="46EA9745">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0-10分</w:t>
            </w:r>
          </w:p>
        </w:tc>
      </w:tr>
    </w:tbl>
    <w:p w14:paraId="7F5B0BCF">
      <w:pPr>
        <w:snapToGrid w:val="0"/>
        <w:spacing w:before="156" w:beforeLines="50" w:line="360" w:lineRule="auto"/>
        <w:rPr>
          <w:rFonts w:ascii="宋体"/>
          <w:b/>
          <w:color w:val="000000"/>
          <w:sz w:val="24"/>
          <w:szCs w:val="24"/>
          <w:u w:val="single"/>
        </w:rPr>
      </w:pPr>
      <w:r>
        <w:rPr>
          <w:rFonts w:hint="eastAsia" w:ascii="宋体" w:hAnsi="宋体"/>
          <w:b/>
          <w:color w:val="000000"/>
          <w:sz w:val="24"/>
          <w:szCs w:val="24"/>
          <w:u w:val="single"/>
        </w:rPr>
        <w:t>注：以上各项评分内容，如报价人未提供相对应内容，磋商小组不受最低评分标准限制，可予以零分计算。</w:t>
      </w:r>
    </w:p>
    <w:p w14:paraId="179E816F">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3、</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0487423">
      <w:pPr>
        <w:spacing w:line="440" w:lineRule="exact"/>
        <w:ind w:left="96" w:firstLine="480" w:firstLineChars="200"/>
        <w:rPr>
          <w:rFonts w:ascii="宋体"/>
          <w:color w:val="000000"/>
          <w:sz w:val="24"/>
          <w:szCs w:val="24"/>
        </w:rPr>
      </w:pPr>
      <w:r>
        <w:rPr>
          <w:rFonts w:hint="eastAsia" w:ascii="宋体" w:hAnsi="宋体"/>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07270AF1">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出现下列情形之一的，采购人应当终止竞争性磋商采购活动，发布项目终止公告并说明原因，重新开展采购活动：</w:t>
      </w:r>
    </w:p>
    <w:p w14:paraId="0BC8847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）因情况变化，不再符合规定的竞争性磋商采购方式适用情形的；</w:t>
      </w:r>
    </w:p>
    <w:p w14:paraId="3FD57561">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）出现影响采购公正的违法、违规行为的；</w:t>
      </w:r>
    </w:p>
    <w:p w14:paraId="1C3776C8">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3C26CB57">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磋商小组将根据磋商采购项目的具体情况评定成交报价人。</w:t>
      </w:r>
    </w:p>
    <w:p w14:paraId="1124624D">
      <w:pPr>
        <w:pStyle w:val="2"/>
        <w:spacing w:line="440" w:lineRule="exact"/>
        <w:rPr>
          <w:b/>
          <w:szCs w:val="24"/>
        </w:rPr>
      </w:pPr>
    </w:p>
    <w:p w14:paraId="346E77A4">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0"/>
    <w:rsid w:val="000F6E8E"/>
    <w:rsid w:val="00182F2D"/>
    <w:rsid w:val="001B40F2"/>
    <w:rsid w:val="001D28C8"/>
    <w:rsid w:val="002517E6"/>
    <w:rsid w:val="002A71DC"/>
    <w:rsid w:val="004444E7"/>
    <w:rsid w:val="00492C85"/>
    <w:rsid w:val="00521B79"/>
    <w:rsid w:val="005B0BE0"/>
    <w:rsid w:val="005D051C"/>
    <w:rsid w:val="005E4052"/>
    <w:rsid w:val="00635F2A"/>
    <w:rsid w:val="006801F2"/>
    <w:rsid w:val="006C0972"/>
    <w:rsid w:val="007246CA"/>
    <w:rsid w:val="007313DF"/>
    <w:rsid w:val="007801CF"/>
    <w:rsid w:val="007B0688"/>
    <w:rsid w:val="00833059"/>
    <w:rsid w:val="00861575"/>
    <w:rsid w:val="00901372"/>
    <w:rsid w:val="00954BF3"/>
    <w:rsid w:val="00960B12"/>
    <w:rsid w:val="009807F1"/>
    <w:rsid w:val="00A91FED"/>
    <w:rsid w:val="00BA4FED"/>
    <w:rsid w:val="00BB2792"/>
    <w:rsid w:val="00BD3F0F"/>
    <w:rsid w:val="00C05E21"/>
    <w:rsid w:val="00C81C36"/>
    <w:rsid w:val="00E845DE"/>
    <w:rsid w:val="00EA2286"/>
    <w:rsid w:val="00F0643D"/>
    <w:rsid w:val="00F669B0"/>
    <w:rsid w:val="00FB5D35"/>
    <w:rsid w:val="00FC6A4E"/>
    <w:rsid w:val="00FE05C4"/>
    <w:rsid w:val="36BFACFD"/>
    <w:rsid w:val="3BEDE702"/>
    <w:rsid w:val="6AFD1273"/>
    <w:rsid w:val="7BEF57D8"/>
    <w:rsid w:val="7BFE293C"/>
    <w:rsid w:val="7BFFD003"/>
    <w:rsid w:val="7FF7ED07"/>
    <w:rsid w:val="E0740AB8"/>
    <w:rsid w:val="F7FCF50A"/>
    <w:rsid w:val="FF7EA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纯文本 字符"/>
    <w:basedOn w:val="6"/>
    <w:link w:val="2"/>
    <w:qFormat/>
    <w:uiPriority w:val="99"/>
    <w:rPr>
      <w:rFonts w:ascii="宋体" w:hAnsi="宋体" w:eastAsia="宋体" w:cs="Times New Roman"/>
      <w:color w:val="000000"/>
      <w:kern w:val="0"/>
      <w:sz w:val="24"/>
      <w:szCs w:val="20"/>
    </w:rPr>
  </w:style>
  <w:style w:type="paragraph" w:styleId="10">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1156</Characters>
  <Lines>9</Lines>
  <Paragraphs>2</Paragraphs>
  <TotalTime>0</TotalTime>
  <ScaleCrop>false</ScaleCrop>
  <LinksUpToDate>false</LinksUpToDate>
  <CharactersWithSpaces>1356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2021-04-27T06:59:00Z</dcterms:created>
  <dc:creator>张梅</dc:creator>
  <cp:lastModifiedBy>一只小皮蛋啊</cp:lastModifiedBy>
  <dcterms:modified xsi:type="dcterms:W3CDTF">2026-07-09T14:29:33Z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625DCFF19E90198EB8ED1C6AA196B1B0_42</vt:lpwstr>
  </property>
</Properties>
</file>